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F322C" w14:textId="3CCFFEE4" w:rsidR="006D6B9B" w:rsidRPr="0039470A" w:rsidRDefault="00BD1CD9" w:rsidP="0039470A">
      <w:pPr>
        <w:spacing w:before="0" w:after="0"/>
        <w:ind w:firstLine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>
        <w:rPr>
          <w:b/>
          <w:color w:val="333333"/>
        </w:rPr>
        <w:t>Р</w:t>
      </w:r>
      <w:r w:rsidR="007E5477" w:rsidRPr="006C362B">
        <w:rPr>
          <w:b/>
          <w:color w:val="333333"/>
        </w:rPr>
        <w:t>ед и начин на възлагане на задължения на членовете на екипите на българските бенефицие</w:t>
      </w:r>
      <w:r w:rsidR="004466DA">
        <w:rPr>
          <w:b/>
          <w:color w:val="333333"/>
        </w:rPr>
        <w:t>ри</w:t>
      </w:r>
      <w:r w:rsidR="007E5477" w:rsidRPr="006C362B">
        <w:rPr>
          <w:b/>
          <w:color w:val="333333"/>
        </w:rPr>
        <w:t xml:space="preserve"> </w:t>
      </w:r>
      <w:r w:rsidR="004466DA">
        <w:rPr>
          <w:b/>
          <w:color w:val="333333"/>
        </w:rPr>
        <w:t xml:space="preserve">при изпълнение на проекти, финансирани </w:t>
      </w:r>
      <w:r w:rsidR="00487637">
        <w:rPr>
          <w:b/>
          <w:color w:val="333333"/>
        </w:rPr>
        <w:t xml:space="preserve">по </w:t>
      </w:r>
      <w:r w:rsidR="004F2B2E" w:rsidRPr="006C362B">
        <w:rPr>
          <w:b/>
          <w:color w:val="333333"/>
        </w:rPr>
        <w:t>трансграничните, транснационалните и междурегионалните програми</w:t>
      </w:r>
      <w:r w:rsidR="004466DA">
        <w:rPr>
          <w:b/>
          <w:color w:val="333333"/>
        </w:rPr>
        <w:t xml:space="preserve"> за териториално сътрудничество</w:t>
      </w:r>
    </w:p>
    <w:p w14:paraId="10E2DCFE" w14:textId="77777777" w:rsidR="00413994" w:rsidRDefault="00413994" w:rsidP="00D61382">
      <w:pPr>
        <w:spacing w:before="0" w:after="0"/>
        <w:ind w:firstLine="0"/>
        <w:jc w:val="both"/>
      </w:pPr>
    </w:p>
    <w:p w14:paraId="0FF265C7" w14:textId="12725529" w:rsidR="00FE4EAD" w:rsidRDefault="00F74D79" w:rsidP="007E5477">
      <w:pPr>
        <w:spacing w:before="0" w:after="0"/>
        <w:ind w:firstLine="709"/>
        <w:jc w:val="both"/>
      </w:pPr>
      <w:r>
        <w:t>Настоящите насоки</w:t>
      </w:r>
      <w:r w:rsidR="00FE4EAD">
        <w:t xml:space="preserve"> се отнася</w:t>
      </w:r>
      <w:r>
        <w:t>т</w:t>
      </w:r>
      <w:r w:rsidR="00FE4EAD" w:rsidRPr="00FE4EAD">
        <w:t xml:space="preserve"> за проекти, </w:t>
      </w:r>
      <w:r w:rsidR="002B45C3">
        <w:t xml:space="preserve">по </w:t>
      </w:r>
      <w:r w:rsidR="00FE4EAD" w:rsidRPr="00FE4EAD">
        <w:t>които</w:t>
      </w:r>
      <w:r w:rsidR="002B45C3">
        <w:t xml:space="preserve"> се</w:t>
      </w:r>
      <w:r w:rsidR="00FE4EAD" w:rsidRPr="00FE4EAD">
        <w:t xml:space="preserve"> отчитат разходи за</w:t>
      </w:r>
      <w:r>
        <w:t xml:space="preserve"> възнаграждения за</w:t>
      </w:r>
      <w:r w:rsidR="00FE4EAD" w:rsidRPr="00FE4EAD">
        <w:t xml:space="preserve"> персонал</w:t>
      </w:r>
      <w:r w:rsidR="005A366F">
        <w:t>,</w:t>
      </w:r>
      <w:r w:rsidR="00FE4EAD" w:rsidRPr="00FE4EAD">
        <w:t xml:space="preserve"> </w:t>
      </w:r>
      <w:r w:rsidR="0048547B">
        <w:t>назначен по трудово или служебно правоотношение</w:t>
      </w:r>
      <w:r w:rsidR="005A366F">
        <w:t>,</w:t>
      </w:r>
      <w:r w:rsidR="0048547B" w:rsidRPr="00FE4EAD">
        <w:t xml:space="preserve"> </w:t>
      </w:r>
      <w:r w:rsidR="0048547B">
        <w:t xml:space="preserve"> </w:t>
      </w:r>
      <w:r w:rsidR="00FE4EAD" w:rsidRPr="00FE4EAD">
        <w:t>на база действително направени разходи (</w:t>
      </w:r>
      <w:proofErr w:type="spellStart"/>
      <w:r w:rsidR="00FE4EAD" w:rsidRPr="00FE4EAD">
        <w:t>on</w:t>
      </w:r>
      <w:proofErr w:type="spellEnd"/>
      <w:r w:rsidR="00FE4EAD" w:rsidRPr="00FE4EAD">
        <w:t xml:space="preserve"> a </w:t>
      </w:r>
      <w:proofErr w:type="spellStart"/>
      <w:r w:rsidR="00FE4EAD" w:rsidRPr="00FE4EAD">
        <w:t>real</w:t>
      </w:r>
      <w:proofErr w:type="spellEnd"/>
      <w:r w:rsidR="00FE4EAD" w:rsidRPr="00FE4EAD">
        <w:t xml:space="preserve"> </w:t>
      </w:r>
      <w:proofErr w:type="spellStart"/>
      <w:r w:rsidR="00FE4EAD" w:rsidRPr="00FE4EAD">
        <w:t>costs</w:t>
      </w:r>
      <w:proofErr w:type="spellEnd"/>
      <w:r w:rsidR="00FE4EAD" w:rsidRPr="00FE4EAD">
        <w:t xml:space="preserve"> </w:t>
      </w:r>
      <w:proofErr w:type="spellStart"/>
      <w:r w:rsidR="00FE4EAD" w:rsidRPr="00FE4EAD">
        <w:t>basis</w:t>
      </w:r>
      <w:proofErr w:type="spellEnd"/>
      <w:r w:rsidR="00FE4EAD" w:rsidRPr="00FE4EAD">
        <w:t xml:space="preserve">). </w:t>
      </w:r>
      <w:r w:rsidR="00FE4EAD">
        <w:t>Текстът не е изчерпателен и реферира</w:t>
      </w:r>
      <w:r w:rsidR="00FE4EAD" w:rsidRPr="00FE4EAD">
        <w:t xml:space="preserve"> към приложимите регламен</w:t>
      </w:r>
      <w:r w:rsidR="00FE4EAD">
        <w:t>ти, закони, наредби, правила и р</w:t>
      </w:r>
      <w:r w:rsidR="00FE4EAD" w:rsidRPr="00FE4EAD">
        <w:t>ъководств</w:t>
      </w:r>
      <w:r>
        <w:t>а</w:t>
      </w:r>
      <w:r w:rsidR="00FE4EAD" w:rsidRPr="00FE4EAD">
        <w:t xml:space="preserve"> на </w:t>
      </w:r>
      <w:r w:rsidR="00FE4EAD">
        <w:t>съответните програми</w:t>
      </w:r>
      <w:r w:rsidR="004F0121">
        <w:t xml:space="preserve"> и може</w:t>
      </w:r>
      <w:r w:rsidR="00FE4EAD" w:rsidRPr="00FE4EAD">
        <w:t xml:space="preserve"> да </w:t>
      </w:r>
      <w:r w:rsidR="004F0121">
        <w:t xml:space="preserve">се промени </w:t>
      </w:r>
      <w:r w:rsidR="00FE4EAD" w:rsidRPr="00FE4EAD">
        <w:t xml:space="preserve">в съответствие с </w:t>
      </w:r>
      <w:r w:rsidR="001F275A">
        <w:t>направените</w:t>
      </w:r>
      <w:r w:rsidR="004F2B2E">
        <w:t xml:space="preserve"> </w:t>
      </w:r>
      <w:r w:rsidR="00FE4EAD" w:rsidRPr="00FE4EAD">
        <w:t>промени на програмните до</w:t>
      </w:r>
      <w:r w:rsidR="00FE4EAD">
        <w:t>кументи и националните нормативни документи.</w:t>
      </w:r>
    </w:p>
    <w:p w14:paraId="3933DBF5" w14:textId="532DDE63" w:rsidR="004F2B2E" w:rsidRDefault="001F275A" w:rsidP="007E5477">
      <w:pPr>
        <w:spacing w:before="0" w:after="0"/>
        <w:ind w:firstLine="709"/>
        <w:jc w:val="both"/>
      </w:pPr>
      <w:r>
        <w:t>При изпълнение</w:t>
      </w:r>
      <w:r w:rsidR="004F2B2E" w:rsidRPr="004F2B2E">
        <w:t xml:space="preserve"> на проекти</w:t>
      </w:r>
      <w:r>
        <w:t>те</w:t>
      </w:r>
      <w:r w:rsidR="004F2B2E" w:rsidRPr="004F2B2E">
        <w:t xml:space="preserve"> </w:t>
      </w:r>
      <w:proofErr w:type="spellStart"/>
      <w:r w:rsidR="004F2B2E" w:rsidRPr="004F2B2E">
        <w:t>бенефицие</w:t>
      </w:r>
      <w:r w:rsidR="004466DA">
        <w:t>рите</w:t>
      </w:r>
      <w:proofErr w:type="spellEnd"/>
      <w:r w:rsidR="004F2B2E" w:rsidRPr="004F2B2E">
        <w:t xml:space="preserve"> следва да извърш</w:t>
      </w:r>
      <w:r w:rsidR="002B45C3">
        <w:t>ат</w:t>
      </w:r>
      <w:r w:rsidR="004F2B2E" w:rsidRPr="004F2B2E">
        <w:t xml:space="preserve"> преценка за начина </w:t>
      </w:r>
      <w:r w:rsidR="002B45C3">
        <w:t>н</w:t>
      </w:r>
      <w:r w:rsidR="004F2B2E" w:rsidRPr="004F2B2E">
        <w:t>а възлагане на задължения на членовете на екипа по съответния проект</w:t>
      </w:r>
      <w:r w:rsidR="00A835F6">
        <w:t>,</w:t>
      </w:r>
      <w:r w:rsidR="004F2B2E" w:rsidRPr="004F2B2E">
        <w:t xml:space="preserve"> като се съобраз</w:t>
      </w:r>
      <w:r w:rsidR="002B45C3">
        <w:t>ят</w:t>
      </w:r>
      <w:r w:rsidR="004F2B2E" w:rsidRPr="004F2B2E">
        <w:t xml:space="preserve"> с програмните документи, разработени по съответната програма, разпоредбите на действащото европейско и българско законодателство, включително в областта на възлагането на обществени поръчки.</w:t>
      </w:r>
    </w:p>
    <w:p w14:paraId="05D9E5BA" w14:textId="33EF0D78" w:rsidR="00A40A96" w:rsidRPr="004466DA" w:rsidRDefault="00A40A96" w:rsidP="00840400">
      <w:pPr>
        <w:spacing w:before="0" w:after="0"/>
        <w:ind w:firstLine="709"/>
        <w:jc w:val="both"/>
        <w:rPr>
          <w:lang w:val="ru-RU"/>
        </w:rPr>
      </w:pPr>
      <w:r w:rsidRPr="00853391">
        <w:t xml:space="preserve">Съгласно чл. 65, т. 1 от Регламент (ЕС) № 1303/2013 на Европейския парламент и на Съвета от 17.12.2013 г. за определяне на </w:t>
      </w:r>
      <w:proofErr w:type="spellStart"/>
      <w:r w:rsidRPr="00853391">
        <w:t>общоприложими</w:t>
      </w:r>
      <w:proofErr w:type="spellEnd"/>
      <w:r w:rsidRPr="00853391">
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№ (ЕО) № 1083/2006 на Съвета (Регламент (ЕС) № 1303/2013), допустимостта на разходите се определя въз основа на националните правила, освен в случаите, в които са определени специални правила във или въз основа на настоящия регламент, или в правилата за отделните фондове.</w:t>
      </w:r>
    </w:p>
    <w:p w14:paraId="41B556EF" w14:textId="33BD2F44" w:rsidR="00FE4EAD" w:rsidRDefault="00A40A96" w:rsidP="00EE1356">
      <w:pPr>
        <w:spacing w:before="0" w:after="0"/>
        <w:ind w:firstLine="709"/>
        <w:jc w:val="both"/>
      </w:pPr>
      <w:r w:rsidRPr="00A40A96">
        <w:t>Специални разпоредби за допустимостта на разходите по програмите за сътрудничество, включително по отношение на категория „</w:t>
      </w:r>
      <w:r w:rsidR="00BE35B4">
        <w:t>Р</w:t>
      </w:r>
      <w:r w:rsidRPr="00A40A96">
        <w:t>азходи за персонал“, са установени в чл. 3 от Делегиран регламент (ЕС) № 481/2014 на Комисията от 4 март 2014 година за допълнение на Регламент (ЕС) № 1299/2013 на Европейския парламент</w:t>
      </w:r>
      <w:r>
        <w:t xml:space="preserve"> </w:t>
      </w:r>
      <w:r w:rsidRPr="00A40A96">
        <w:t xml:space="preserve"> </w:t>
      </w:r>
      <w:r w:rsidRPr="00A40A96">
        <w:lastRenderedPageBreak/>
        <w:t>и на Съвета по отношение на специалните разпоредби за допустимостта на разходите по програмите за сътрудничество</w:t>
      </w:r>
      <w:r>
        <w:t>.</w:t>
      </w:r>
    </w:p>
    <w:p w14:paraId="62CD1A84" w14:textId="17B85E31" w:rsidR="00FE4EAD" w:rsidRPr="005959B1" w:rsidRDefault="00FE4EAD" w:rsidP="00EE1356">
      <w:pPr>
        <w:spacing w:before="0" w:after="0"/>
        <w:ind w:firstLine="709"/>
        <w:jc w:val="both"/>
        <w:rPr>
          <w:b/>
        </w:rPr>
      </w:pPr>
      <w:r w:rsidRPr="00FE4EAD">
        <w:rPr>
          <w:b/>
        </w:rPr>
        <w:t>Р</w:t>
      </w:r>
      <w:r w:rsidR="00DB449F" w:rsidRPr="00FE4EAD">
        <w:rPr>
          <w:b/>
        </w:rPr>
        <w:t>ед и начин на възлагане на задължения на персонала на проект</w:t>
      </w:r>
      <w:r w:rsidR="00DB449F">
        <w:rPr>
          <w:b/>
        </w:rPr>
        <w:t>:</w:t>
      </w:r>
    </w:p>
    <w:p w14:paraId="3635013E" w14:textId="0CB99479" w:rsidR="00FE4EAD" w:rsidRDefault="005959B1" w:rsidP="00FE4EAD">
      <w:pPr>
        <w:spacing w:before="0" w:after="0"/>
        <w:ind w:firstLine="709"/>
        <w:jc w:val="both"/>
      </w:pPr>
      <w:r w:rsidRPr="005959B1">
        <w:t>Съгласно чл. 3 от  Делегиран регламент (ЕС) № 481/2014 на Комисията от 4 март 2014 година за допълнение на Регламент (ЕС) № 1299/2013 на Европейския парламент и на Съвета по отношение на специалните разпоредби за допустимостта на разходите по програмите за сътрудничество, приложим за настоящия програмен период (2014-2020),</w:t>
      </w:r>
      <w:r>
        <w:t xml:space="preserve"> </w:t>
      </w:r>
      <w:r w:rsidR="00FE4EAD">
        <w:t>възможните начини на за възлагане на работа са следните:</w:t>
      </w:r>
    </w:p>
    <w:p w14:paraId="2A7D7886" w14:textId="77777777" w:rsidR="00FE4EAD" w:rsidRDefault="00FE4EAD" w:rsidP="00FE4EAD">
      <w:pPr>
        <w:spacing w:before="0" w:after="0"/>
        <w:ind w:firstLine="709"/>
        <w:jc w:val="both"/>
      </w:pPr>
      <w:r>
        <w:t>1.</w:t>
      </w:r>
      <w:r>
        <w:tab/>
        <w:t>Лице, наето в организацията партньор, работещо на пълно работно време по проекта;</w:t>
      </w:r>
    </w:p>
    <w:p w14:paraId="2A856DB8" w14:textId="77777777" w:rsidR="00FE4EAD" w:rsidRDefault="00FE4EAD" w:rsidP="00FE4EAD">
      <w:pPr>
        <w:spacing w:before="0" w:after="0"/>
        <w:ind w:firstLine="709"/>
        <w:jc w:val="both"/>
      </w:pPr>
      <w:r>
        <w:t>2.</w:t>
      </w:r>
      <w:r>
        <w:tab/>
        <w:t>Лице, наето в организацията партньор, работещо на непълно работно време с постоянен процент работни часове на месец;</w:t>
      </w:r>
    </w:p>
    <w:p w14:paraId="5BCEF8CB" w14:textId="77777777" w:rsidR="00FE4EAD" w:rsidRDefault="00FE4EAD" w:rsidP="00FE4EAD">
      <w:pPr>
        <w:spacing w:before="0" w:after="0"/>
        <w:ind w:firstLine="709"/>
        <w:jc w:val="both"/>
      </w:pPr>
      <w:r>
        <w:t>3.</w:t>
      </w:r>
      <w:r>
        <w:tab/>
        <w:t>Лице, наето в организацията партньор, работещо на непълно работно време с променлив брой работни часове на месец;</w:t>
      </w:r>
    </w:p>
    <w:p w14:paraId="2E2B727E" w14:textId="350F1293" w:rsidR="00FE4EAD" w:rsidRDefault="00FE4EAD" w:rsidP="00A835F6">
      <w:pPr>
        <w:spacing w:before="0" w:after="0"/>
        <w:ind w:firstLine="709"/>
        <w:jc w:val="both"/>
      </w:pPr>
      <w:r>
        <w:t xml:space="preserve">а) </w:t>
      </w:r>
      <w:r w:rsidR="00EE1356">
        <w:t xml:space="preserve">    </w:t>
      </w:r>
      <w:r w:rsidR="00266537">
        <w:t xml:space="preserve"> </w:t>
      </w:r>
      <w:r>
        <w:t>Изчислението се основава на договорените часове, определени в акта за наемане на работа;</w:t>
      </w:r>
    </w:p>
    <w:p w14:paraId="53D41115" w14:textId="1E486639" w:rsidR="00FE4EAD" w:rsidRDefault="00FE4EAD" w:rsidP="00A835F6">
      <w:pPr>
        <w:spacing w:before="0" w:after="0"/>
        <w:ind w:firstLine="709"/>
        <w:jc w:val="both"/>
      </w:pPr>
      <w:r>
        <w:t xml:space="preserve">б) </w:t>
      </w:r>
      <w:r w:rsidR="00EE1356">
        <w:t xml:space="preserve">  </w:t>
      </w:r>
      <w:r w:rsidR="00266537">
        <w:t xml:space="preserve"> </w:t>
      </w:r>
      <w:r>
        <w:t>Изчислението се основава на разделяне на последните документирани брутни разходи за труд за година, разделени на 1 720 часа.</w:t>
      </w:r>
    </w:p>
    <w:p w14:paraId="09A02D25" w14:textId="77777777" w:rsidR="00FE4EAD" w:rsidRDefault="00FE4EAD" w:rsidP="00FE4EAD">
      <w:pPr>
        <w:spacing w:before="0" w:after="0"/>
        <w:ind w:firstLine="709"/>
        <w:jc w:val="both"/>
      </w:pPr>
      <w:r>
        <w:t>4.</w:t>
      </w:r>
      <w:r>
        <w:tab/>
        <w:t>Лице, работещо почасово в организацията партньор.</w:t>
      </w:r>
    </w:p>
    <w:p w14:paraId="4795E988" w14:textId="71D021C8" w:rsidR="00853391" w:rsidRDefault="00FE4EAD" w:rsidP="00853391">
      <w:pPr>
        <w:spacing w:before="0" w:after="0"/>
        <w:ind w:firstLine="709"/>
        <w:jc w:val="both"/>
      </w:pPr>
      <w:r w:rsidRPr="0064070B">
        <w:t>Гореописаните начини мог</w:t>
      </w:r>
      <w:r w:rsidRPr="00B03C7B">
        <w:t xml:space="preserve">ат да се приложат едновременно в една и съща организация </w:t>
      </w:r>
      <w:r w:rsidR="00A835F6">
        <w:t xml:space="preserve">- </w:t>
      </w:r>
      <w:proofErr w:type="spellStart"/>
      <w:r w:rsidR="00A835F6">
        <w:t>бенефициер</w:t>
      </w:r>
      <w:proofErr w:type="spellEnd"/>
      <w:r w:rsidR="00A835F6">
        <w:t xml:space="preserve">, </w:t>
      </w:r>
      <w:r w:rsidRPr="00B03C7B">
        <w:t>ако лицата</w:t>
      </w:r>
      <w:r w:rsidR="00A835F6">
        <w:t>,</w:t>
      </w:r>
      <w:r w:rsidRPr="00B03C7B">
        <w:t xml:space="preserve"> назначени с различен акт за наемане на работа и степен на ангажираност</w:t>
      </w:r>
      <w:r w:rsidR="00A835F6">
        <w:t>,</w:t>
      </w:r>
      <w:r w:rsidRPr="00B03C7B">
        <w:t xml:space="preserve"> работят по един проект.</w:t>
      </w:r>
      <w:r>
        <w:t xml:space="preserve"> </w:t>
      </w:r>
    </w:p>
    <w:p w14:paraId="3458C9B7" w14:textId="3FD91EF7" w:rsidR="00853391" w:rsidRPr="002258E2" w:rsidRDefault="00FE4EAD" w:rsidP="002258E2">
      <w:pPr>
        <w:ind w:firstLine="850"/>
        <w:jc w:val="both"/>
        <w:rPr>
          <w:shd w:val="clear" w:color="auto" w:fill="FEFEFE"/>
        </w:rPr>
      </w:pPr>
      <w:r>
        <w:t>Възлагане</w:t>
      </w:r>
      <w:r w:rsidR="007253DE">
        <w:t>то</w:t>
      </w:r>
      <w:r>
        <w:t xml:space="preserve"> на задължения на персонала на проекта с акт за наемане на работа, както и определянето на условията, размера и реда за получаване на възнаграждения се осъществява при спазване </w:t>
      </w:r>
      <w:r w:rsidR="00C0721C" w:rsidRPr="00C0721C">
        <w:t xml:space="preserve">правилата </w:t>
      </w:r>
      <w:r w:rsidR="00C0721C">
        <w:t>за допустимост на разходите на съответната програма и</w:t>
      </w:r>
      <w:r w:rsidR="00C0721C" w:rsidRPr="00C0721C">
        <w:t xml:space="preserve"> </w:t>
      </w:r>
      <w:r>
        <w:t xml:space="preserve">разпоредбите на </w:t>
      </w:r>
      <w:r w:rsidR="00C0721C">
        <w:t xml:space="preserve">националното законодателство - </w:t>
      </w:r>
      <w:r>
        <w:t xml:space="preserve">Кодекса на труда (КТ) </w:t>
      </w:r>
      <w:r w:rsidR="00C0721C">
        <w:t xml:space="preserve">и </w:t>
      </w:r>
      <w:r>
        <w:t>Закона за дър</w:t>
      </w:r>
      <w:r w:rsidR="006D2CA4">
        <w:t>жавния служител</w:t>
      </w:r>
      <w:r>
        <w:t>.</w:t>
      </w:r>
      <w:r w:rsidR="00853391" w:rsidRPr="00853391">
        <w:t xml:space="preserve"> </w:t>
      </w:r>
    </w:p>
    <w:p w14:paraId="4117FC66" w14:textId="0DC9B8A7" w:rsidR="00AB0364" w:rsidRPr="009E056E" w:rsidRDefault="00AB0364" w:rsidP="009E056E">
      <w:pPr>
        <w:spacing w:before="0" w:after="0"/>
        <w:ind w:firstLine="709"/>
        <w:jc w:val="both"/>
        <w:rPr>
          <w:b/>
        </w:rPr>
      </w:pPr>
      <w:r w:rsidRPr="009E056E">
        <w:rPr>
          <w:b/>
        </w:rPr>
        <w:t>1.</w:t>
      </w:r>
      <w:r w:rsidRPr="009E056E">
        <w:rPr>
          <w:b/>
        </w:rPr>
        <w:tab/>
        <w:t>Съгласно разпоредбите на Кодекса на труда:</w:t>
      </w:r>
    </w:p>
    <w:p w14:paraId="503ABF01" w14:textId="54905D71" w:rsidR="00AB0364" w:rsidRDefault="002B00DE" w:rsidP="00AB0364">
      <w:pPr>
        <w:spacing w:before="0" w:after="0"/>
        <w:ind w:firstLine="709"/>
        <w:jc w:val="both"/>
      </w:pPr>
      <w:r>
        <w:lastRenderedPageBreak/>
        <w:t>Възлагане на задължения за работа по проект</w:t>
      </w:r>
      <w:r w:rsidR="00AB0364">
        <w:t xml:space="preserve"> става посредством основен трудов договор, </w:t>
      </w:r>
      <w:r w:rsidR="00AB0364" w:rsidRPr="00853391">
        <w:t>втори трудов договор</w:t>
      </w:r>
      <w:r w:rsidR="00AB0364">
        <w:t xml:space="preserve"> или </w:t>
      </w:r>
      <w:r w:rsidR="00AB0364" w:rsidRPr="00853391">
        <w:t>допълнително споразумение</w:t>
      </w:r>
      <w:r w:rsidR="00AB0364">
        <w:t xml:space="preserve"> към основен трудов договор</w:t>
      </w:r>
      <w:r w:rsidR="008A0DA0">
        <w:t>,</w:t>
      </w:r>
      <w:r w:rsidR="00AB0364">
        <w:t xml:space="preserve"> сключен между съответния експе</w:t>
      </w:r>
      <w:r w:rsidR="007D08A1">
        <w:t>рт и организацията-</w:t>
      </w:r>
      <w:proofErr w:type="spellStart"/>
      <w:r w:rsidR="007D08A1">
        <w:t>бен</w:t>
      </w:r>
      <w:r w:rsidR="00A835F6">
        <w:t>ефициер</w:t>
      </w:r>
      <w:proofErr w:type="spellEnd"/>
      <w:r w:rsidR="003F55A6">
        <w:t>, като при всички случаи</w:t>
      </w:r>
      <w:r w:rsidR="007D08A1">
        <w:t xml:space="preserve"> се издава заповед за определяне на членовете на екипа на проекта.</w:t>
      </w:r>
    </w:p>
    <w:p w14:paraId="78BE5D0E" w14:textId="327B2F8A" w:rsidR="00AB0364" w:rsidRDefault="00AB0364" w:rsidP="00AB0364">
      <w:pPr>
        <w:spacing w:before="0" w:after="0"/>
        <w:ind w:firstLine="709"/>
        <w:jc w:val="both"/>
      </w:pPr>
      <w:r>
        <w:t>В случаите, когато експертът ще работи по проекта на пълн</w:t>
      </w:r>
      <w:r w:rsidR="009A4CB6">
        <w:t>о работно време</w:t>
      </w:r>
      <w:r>
        <w:t xml:space="preserve"> </w:t>
      </w:r>
      <w:r w:rsidR="009A4CB6" w:rsidRPr="004466DA">
        <w:rPr>
          <w:lang w:val="ru-RU"/>
        </w:rPr>
        <w:t>(</w:t>
      </w:r>
      <w:r>
        <w:t>8-часов работен д</w:t>
      </w:r>
      <w:r w:rsidR="00D02666">
        <w:t>ен</w:t>
      </w:r>
      <w:r w:rsidR="009A4CB6" w:rsidRPr="004466DA">
        <w:rPr>
          <w:lang w:val="ru-RU"/>
        </w:rPr>
        <w:t>)</w:t>
      </w:r>
      <w:r w:rsidR="00D02666">
        <w:t xml:space="preserve"> или непълно работното време, което е </w:t>
      </w:r>
      <w:r>
        <w:t>част от пълно</w:t>
      </w:r>
      <w:r w:rsidR="00D02666">
        <w:t>то работното време на служителя</w:t>
      </w:r>
      <w:r w:rsidR="00974D6F">
        <w:t>,</w:t>
      </w:r>
      <w:r>
        <w:t xml:space="preserve"> за възлагане на задълженията по проекта се </w:t>
      </w:r>
      <w:r w:rsidR="00B03C7B">
        <w:t xml:space="preserve">сключва </w:t>
      </w:r>
      <w:r w:rsidR="007D08A1">
        <w:t>основ</w:t>
      </w:r>
      <w:r w:rsidR="00B03C7B">
        <w:t>е</w:t>
      </w:r>
      <w:r>
        <w:t xml:space="preserve">н трудов договор. </w:t>
      </w:r>
      <w:r w:rsidR="00AB6BB8">
        <w:t>При пълна 8-часова заетост</w:t>
      </w:r>
      <w:r w:rsidR="008A0DA0">
        <w:t xml:space="preserve"> по проекта</w:t>
      </w:r>
      <w:r>
        <w:t xml:space="preserve">, в трудовия договор на съответния експерт се посочва длъжността, която ще изпълнява по проекта и срока на договора. Изготвя се длъжностна характеристика. </w:t>
      </w:r>
    </w:p>
    <w:p w14:paraId="3A04DE2B" w14:textId="415DA9DE" w:rsidR="00AB0364" w:rsidRDefault="008A0DA0" w:rsidP="00AB0364">
      <w:pPr>
        <w:spacing w:before="0" w:after="0"/>
        <w:ind w:firstLine="709"/>
        <w:jc w:val="both"/>
      </w:pPr>
      <w:r>
        <w:t xml:space="preserve">За </w:t>
      </w:r>
      <w:r w:rsidR="00AB0364">
        <w:t xml:space="preserve">лица, които </w:t>
      </w:r>
      <w:r w:rsidR="007771A8">
        <w:t xml:space="preserve">ще изпълняват задължения в рамките на </w:t>
      </w:r>
      <w:r w:rsidR="007253DE">
        <w:t xml:space="preserve">основния си </w:t>
      </w:r>
      <w:r w:rsidR="00AB0364">
        <w:t>трудов договор</w:t>
      </w:r>
      <w:r w:rsidR="007771A8">
        <w:t xml:space="preserve"> </w:t>
      </w:r>
      <w:r w:rsidR="00AB0364">
        <w:t>в самата организация и в длъжностните им характеристики е предвидено те да работят по проекти, ръководителя</w:t>
      </w:r>
      <w:r w:rsidR="00A835F6">
        <w:t>т</w:t>
      </w:r>
      <w:r w:rsidR="00AB0364">
        <w:t xml:space="preserve"> на организацията </w:t>
      </w:r>
      <w:r>
        <w:t xml:space="preserve">издава </w:t>
      </w:r>
      <w:r w:rsidR="00AB0364">
        <w:t xml:space="preserve">заповед </w:t>
      </w:r>
      <w:r>
        <w:t>за включване на лицата</w:t>
      </w:r>
      <w:r w:rsidR="00AB0364">
        <w:t xml:space="preserve"> в екипа </w:t>
      </w:r>
      <w:r>
        <w:t>на</w:t>
      </w:r>
      <w:r w:rsidR="00AB0364">
        <w:t xml:space="preserve"> проекта</w:t>
      </w:r>
      <w:r w:rsidR="007771A8">
        <w:t>. В заповедта</w:t>
      </w:r>
      <w:r>
        <w:t xml:space="preserve"> </w:t>
      </w:r>
      <w:r w:rsidR="00AB0364">
        <w:t>се посочва</w:t>
      </w:r>
      <w:r>
        <w:t>т:</w:t>
      </w:r>
      <w:r w:rsidR="00AB0364">
        <w:t xml:space="preserve"> проект</w:t>
      </w:r>
      <w:r w:rsidR="0067398B">
        <w:t>ът</w:t>
      </w:r>
      <w:r w:rsidR="00AB0364">
        <w:t xml:space="preserve">, функциите, които ще изпълняват съответните експерти, срокове за изпълнение, часовата заетост, както и </w:t>
      </w:r>
      <w:r>
        <w:t xml:space="preserve">избрания начин за </w:t>
      </w:r>
      <w:r w:rsidR="007771A8">
        <w:t xml:space="preserve">назначаване и </w:t>
      </w:r>
      <w:r w:rsidR="00AB6BB8">
        <w:t>отчитане. В този случай изменение на длъжностната характеристика не се налага.</w:t>
      </w:r>
      <w:r w:rsidR="00AB6BB8" w:rsidRPr="004466DA">
        <w:rPr>
          <w:lang w:val="ru-RU"/>
        </w:rPr>
        <w:t xml:space="preserve"> </w:t>
      </w:r>
      <w:r w:rsidR="00AB6BB8">
        <w:t xml:space="preserve">Когато за целите на проекта ще бъде използвано </w:t>
      </w:r>
      <w:r w:rsidR="00AB6BB8" w:rsidRPr="00AB6BB8">
        <w:t>част от пълното работното време на служителя</w:t>
      </w:r>
      <w:r w:rsidR="00AB6BB8">
        <w:t>,</w:t>
      </w:r>
      <w:r w:rsidR="00AB6BB8" w:rsidRPr="00AB6BB8">
        <w:t xml:space="preserve"> </w:t>
      </w:r>
      <w:r w:rsidR="00AB0364">
        <w:t>работата се отчита посредством отчет за отраб</w:t>
      </w:r>
      <w:r w:rsidR="00AB6BB8">
        <w:t>отено време, в който се отбелязват изработените часове по проекта</w:t>
      </w:r>
      <w:r w:rsidR="00AB0364">
        <w:t xml:space="preserve">. </w:t>
      </w:r>
    </w:p>
    <w:p w14:paraId="67CBE9AA" w14:textId="35475FF5" w:rsidR="00AB0364" w:rsidRDefault="007D08A1" w:rsidP="00AB0364">
      <w:pPr>
        <w:spacing w:before="0" w:after="0"/>
        <w:ind w:firstLine="709"/>
        <w:jc w:val="both"/>
      </w:pPr>
      <w:r>
        <w:t xml:space="preserve">В случаите когато </w:t>
      </w:r>
      <w:r w:rsidR="00AB0364">
        <w:t>експерт</w:t>
      </w:r>
      <w:r>
        <w:t>ът няма възможност</w:t>
      </w:r>
      <w:r w:rsidR="005000EE">
        <w:t xml:space="preserve"> </w:t>
      </w:r>
      <w:r>
        <w:t>да осъществява дейностите по проекта в рамките на основния си трудов договор</w:t>
      </w:r>
      <w:r w:rsidR="00AB0364">
        <w:t xml:space="preserve"> </w:t>
      </w:r>
      <w:r>
        <w:t>(8 часа пълна заетост</w:t>
      </w:r>
      <w:r w:rsidR="00AB0364">
        <w:t>)</w:t>
      </w:r>
      <w:r w:rsidR="003B504F" w:rsidRPr="004466DA">
        <w:rPr>
          <w:lang w:val="ru-RU"/>
        </w:rPr>
        <w:t xml:space="preserve"> </w:t>
      </w:r>
      <w:r w:rsidR="003B504F">
        <w:t>и</w:t>
      </w:r>
      <w:r w:rsidR="005000EE">
        <w:t>ли</w:t>
      </w:r>
      <w:r w:rsidR="003B504F">
        <w:t xml:space="preserve"> организацията не е предвидила пълна заетост</w:t>
      </w:r>
      <w:r w:rsidR="005000EE">
        <w:t xml:space="preserve"> на експерта</w:t>
      </w:r>
      <w:r w:rsidR="00AB0364">
        <w:t xml:space="preserve">, </w:t>
      </w:r>
      <w:r w:rsidR="00761D7A">
        <w:t xml:space="preserve">е възможно </w:t>
      </w:r>
      <w:r w:rsidR="00AB0364">
        <w:t xml:space="preserve">възлагане на задълженията по проекта </w:t>
      </w:r>
      <w:r w:rsidR="00761D7A">
        <w:t>с</w:t>
      </w:r>
      <w:r w:rsidR="00AB0364">
        <w:t xml:space="preserve"> договор за допълнителен труд (втори трудов договор). Налице </w:t>
      </w:r>
      <w:r w:rsidR="00D42F21">
        <w:t xml:space="preserve">са </w:t>
      </w:r>
      <w:r w:rsidR="00AB0364">
        <w:t>следните две възможни хипотези:</w:t>
      </w:r>
    </w:p>
    <w:p w14:paraId="14D01AFE" w14:textId="2ADAC52C" w:rsidR="00AB0364" w:rsidRDefault="00AB0364" w:rsidP="00AB0364">
      <w:pPr>
        <w:spacing w:before="0" w:after="0"/>
        <w:ind w:firstLine="709"/>
        <w:jc w:val="both"/>
      </w:pPr>
      <w:r>
        <w:t>-</w:t>
      </w:r>
      <w:r>
        <w:tab/>
      </w:r>
      <w:r w:rsidR="00761D7A">
        <w:t xml:space="preserve">когато </w:t>
      </w:r>
      <w:r>
        <w:t xml:space="preserve">лицето се намира в трудови правоотношения със самата организация, </w:t>
      </w:r>
      <w:r w:rsidR="00D70550">
        <w:t>която е бенефициер</w:t>
      </w:r>
      <w:r w:rsidR="000515D8">
        <w:t xml:space="preserve"> по проекта се сключва договор по </w:t>
      </w:r>
      <w:r>
        <w:t>чл. 110</w:t>
      </w:r>
      <w:r w:rsidR="000515D8">
        <w:t xml:space="preserve"> от</w:t>
      </w:r>
      <w:r>
        <w:t xml:space="preserve"> КТ</w:t>
      </w:r>
      <w:r w:rsidR="00252835" w:rsidRPr="00252835">
        <w:t xml:space="preserve"> за извършване на работа, която не е в кръга на неговите трудови задължения, извън установеното за него работно време</w:t>
      </w:r>
      <w:r w:rsidR="00853391">
        <w:t>;</w:t>
      </w:r>
    </w:p>
    <w:p w14:paraId="167CF385" w14:textId="4B613F56" w:rsidR="00975F23" w:rsidRDefault="00AB0364" w:rsidP="000B7DC4">
      <w:pPr>
        <w:spacing w:before="0" w:after="0"/>
        <w:ind w:firstLine="709"/>
        <w:jc w:val="both"/>
      </w:pPr>
      <w:r>
        <w:lastRenderedPageBreak/>
        <w:t>-</w:t>
      </w:r>
      <w:r>
        <w:tab/>
      </w:r>
      <w:r w:rsidR="00761D7A">
        <w:t xml:space="preserve">когато </w:t>
      </w:r>
      <w:r>
        <w:t xml:space="preserve">лицето се намира в трудови правоотношения с друга организация </w:t>
      </w:r>
      <w:r w:rsidR="000515D8" w:rsidRPr="000515D8">
        <w:t xml:space="preserve">се сключва договор по </w:t>
      </w:r>
      <w:r>
        <w:t>чл. 111</w:t>
      </w:r>
      <w:r w:rsidR="000515D8">
        <w:t xml:space="preserve"> от КТ</w:t>
      </w:r>
      <w:r w:rsidR="00252835" w:rsidRPr="00252835">
        <w:t xml:space="preserve"> за извършване на работа извън установеното за него работно време по основното трудово правоотношение (външно съвместителство)</w:t>
      </w:r>
    </w:p>
    <w:p w14:paraId="67AD4C8F" w14:textId="3388ACF5" w:rsidR="00252835" w:rsidRDefault="007D08A1" w:rsidP="003B3457">
      <w:pPr>
        <w:spacing w:before="0" w:after="0"/>
        <w:ind w:firstLine="709"/>
        <w:jc w:val="both"/>
      </w:pPr>
      <w:r>
        <w:t>Възлагане на дейност</w:t>
      </w:r>
      <w:r w:rsidR="00AB0364">
        <w:t xml:space="preserve"> по проект може да се извърши и чрез допълнително споразумение към основен трудов договор, който експертите са сключили с организацията. </w:t>
      </w:r>
      <w:r w:rsidR="00853391">
        <w:t xml:space="preserve">Съгласно </w:t>
      </w:r>
      <w:r w:rsidR="00853391" w:rsidRPr="00853391">
        <w:t xml:space="preserve">чл. 119 от КТ </w:t>
      </w:r>
      <w:r w:rsidR="00853391">
        <w:t>т</w:t>
      </w:r>
      <w:r w:rsidR="00853391" w:rsidRPr="00853391">
        <w:t>рудовото правоотношение може да се изменя с писмено съгласие между страните за определено или неопределено време.</w:t>
      </w:r>
      <w:r w:rsidR="00853391">
        <w:t xml:space="preserve"> </w:t>
      </w:r>
      <w:r w:rsidR="00AB0364" w:rsidRPr="00BD1CD9">
        <w:t>С допълнителното споразумение може да се изменят длъжността, срок</w:t>
      </w:r>
      <w:r w:rsidR="00636416">
        <w:t>ът</w:t>
      </w:r>
      <w:r w:rsidR="00AB0364" w:rsidRPr="00BD1CD9">
        <w:t xml:space="preserve"> на договора, размер</w:t>
      </w:r>
      <w:r w:rsidR="00636416">
        <w:t>ът</w:t>
      </w:r>
      <w:r w:rsidR="00AB0364" w:rsidRPr="00BD1CD9">
        <w:t xml:space="preserve"> на </w:t>
      </w:r>
      <w:r w:rsidR="00BD1CD9" w:rsidRPr="0039470A">
        <w:t xml:space="preserve">месечното </w:t>
      </w:r>
      <w:r w:rsidR="00BD1CD9">
        <w:t xml:space="preserve">трудово </w:t>
      </w:r>
      <w:r w:rsidR="00AB0364" w:rsidRPr="00BD1CD9">
        <w:t xml:space="preserve">възнаграждение, </w:t>
      </w:r>
      <w:r w:rsidR="007A37DB">
        <w:t xml:space="preserve">които са в </w:t>
      </w:r>
      <w:r w:rsidR="00AB0364" w:rsidRPr="00BD1CD9">
        <w:t>съответств</w:t>
      </w:r>
      <w:r w:rsidR="007A37DB">
        <w:t>ие</w:t>
      </w:r>
      <w:r w:rsidR="00AB0364" w:rsidRPr="00BD1CD9">
        <w:t xml:space="preserve"> </w:t>
      </w:r>
      <w:r w:rsidR="007A37DB">
        <w:t xml:space="preserve"> с</w:t>
      </w:r>
      <w:r w:rsidR="00AB0364" w:rsidRPr="00BD1CD9">
        <w:t xml:space="preserve"> изпълнявания проект</w:t>
      </w:r>
      <w:r w:rsidR="00AB0364">
        <w:t>. Изменението може да доведе до необходимост от изменение на длъжностната характеристика.</w:t>
      </w:r>
      <w:r w:rsidR="00853391">
        <w:t xml:space="preserve"> </w:t>
      </w:r>
    </w:p>
    <w:p w14:paraId="34636BA9" w14:textId="77777777" w:rsidR="00AB0364" w:rsidRPr="000515D8" w:rsidRDefault="00AB0364" w:rsidP="00AB0364">
      <w:pPr>
        <w:spacing w:before="0" w:after="0"/>
        <w:ind w:firstLine="709"/>
        <w:jc w:val="both"/>
        <w:rPr>
          <w:b/>
        </w:rPr>
      </w:pPr>
      <w:r w:rsidRPr="000515D8">
        <w:rPr>
          <w:b/>
        </w:rPr>
        <w:t>2.</w:t>
      </w:r>
      <w:r w:rsidRPr="000515D8">
        <w:rPr>
          <w:b/>
        </w:rPr>
        <w:tab/>
        <w:t>Съгласно разпоредбите на Закона за държавния служител:</w:t>
      </w:r>
    </w:p>
    <w:p w14:paraId="6525F8FA" w14:textId="7CD2E4C1" w:rsidR="00AB0364" w:rsidRDefault="00540877" w:rsidP="00AB0364">
      <w:pPr>
        <w:spacing w:before="0" w:after="0"/>
        <w:ind w:firstLine="709"/>
        <w:jc w:val="both"/>
      </w:pPr>
      <w:r>
        <w:rPr>
          <w:b/>
        </w:rPr>
        <w:t>Предвид горепосоченото</w:t>
      </w:r>
      <w:r w:rsidR="000E0FF6">
        <w:rPr>
          <w:b/>
        </w:rPr>
        <w:t>,</w:t>
      </w:r>
      <w:r>
        <w:rPr>
          <w:b/>
        </w:rPr>
        <w:t xml:space="preserve"> к</w:t>
      </w:r>
      <w:r w:rsidR="00BF6BE8" w:rsidRPr="00BF6BE8">
        <w:rPr>
          <w:b/>
        </w:rPr>
        <w:t xml:space="preserve">ъм настоящия момент, възлагане на допълнителни задължения на държавните служители, със заповед за работа </w:t>
      </w:r>
      <w:r w:rsidR="00BF6BE8" w:rsidRPr="00074BD4">
        <w:rPr>
          <w:b/>
        </w:rPr>
        <w:t>извън основното работно</w:t>
      </w:r>
      <w:r w:rsidR="00BF6BE8" w:rsidRPr="00BF6BE8">
        <w:rPr>
          <w:b/>
        </w:rPr>
        <w:t xml:space="preserve"> време (8 часа на ден) не е приложимо</w:t>
      </w:r>
      <w:r w:rsidR="00761D7A">
        <w:t xml:space="preserve"> за</w:t>
      </w:r>
      <w:r w:rsidR="00BF6BE8">
        <w:t xml:space="preserve"> </w:t>
      </w:r>
      <w:r w:rsidR="00761D7A">
        <w:t>т</w:t>
      </w:r>
      <w:r w:rsidR="00761D7A" w:rsidRPr="00761D7A">
        <w:t xml:space="preserve">рансграничните, транснационалните и междурегионалните </w:t>
      </w:r>
      <w:r w:rsidR="00BF6BE8" w:rsidRPr="00BF6BE8">
        <w:t>програми</w:t>
      </w:r>
      <w:r w:rsidR="00BF6BE8">
        <w:t>те</w:t>
      </w:r>
      <w:r w:rsidR="00BF6BE8" w:rsidRPr="00BF6BE8">
        <w:t>, по които Дирекция „Управление на териториалното сътрудничество“ е Национален орган/Национално звено за контакт,</w:t>
      </w:r>
      <w:r w:rsidR="00761D7A">
        <w:t xml:space="preserve"> тъй като те</w:t>
      </w:r>
      <w:r w:rsidR="00BF6BE8">
        <w:t xml:space="preserve"> не </w:t>
      </w:r>
      <w:r w:rsidR="00761D7A">
        <w:t>попадат</w:t>
      </w:r>
      <w:r w:rsidR="00BF6BE8">
        <w:t xml:space="preserve"> в обхвата на </w:t>
      </w:r>
      <w:r w:rsidR="00E758AA" w:rsidRPr="00E758AA">
        <w:t>Постановление № 189 на Министерския съвет от 28 юли 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2014 - 2020 г</w:t>
      </w:r>
      <w:r w:rsidR="00AB0364">
        <w:t xml:space="preserve">. </w:t>
      </w:r>
    </w:p>
    <w:p w14:paraId="7CCD6CB4" w14:textId="0D20210D" w:rsidR="00AB0364" w:rsidRDefault="00AB0364" w:rsidP="00AB0364">
      <w:pPr>
        <w:spacing w:before="0" w:after="0"/>
        <w:ind w:firstLine="709"/>
        <w:jc w:val="both"/>
      </w:pPr>
      <w:r>
        <w:t>Допустими за отчитане са разходи за възнаграждения за пълно работно време по проекта (8 часа на ден) или непълно работното време (част от пълното работното време на служителя).</w:t>
      </w:r>
    </w:p>
    <w:p w14:paraId="721D0D37" w14:textId="419EC3C3" w:rsidR="00276FBF" w:rsidRDefault="00AB0364" w:rsidP="00AB0364">
      <w:pPr>
        <w:spacing w:before="0" w:after="0"/>
        <w:ind w:firstLine="709"/>
        <w:jc w:val="both"/>
      </w:pPr>
      <w:r>
        <w:t>Когато в длъжностната характеристика на служителите по служебно правоотношение е вменено задължение за работа по проекти</w:t>
      </w:r>
      <w:r w:rsidR="000E0FF6">
        <w:t>,</w:t>
      </w:r>
      <w:r>
        <w:t xml:space="preserve"> не е необходимо да се правят изменения в длъжностната характеристика. В този случай се издава заповед, в която се посочва </w:t>
      </w:r>
      <w:r w:rsidR="00BF0147" w:rsidRPr="00BF0147">
        <w:t>проект</w:t>
      </w:r>
      <w:r w:rsidR="00BF0147">
        <w:t>а</w:t>
      </w:r>
      <w:r w:rsidR="00BF0147" w:rsidRPr="00BF0147">
        <w:t xml:space="preserve">, функциите, които ще изпълняват съответните експерти, срокове за изпълнение, часовата заетост, както и </w:t>
      </w:r>
      <w:r w:rsidR="008A0DA0" w:rsidRPr="008A0DA0">
        <w:t xml:space="preserve">избрания начин за </w:t>
      </w:r>
      <w:r w:rsidR="00276FBF" w:rsidRPr="00276FBF">
        <w:t>отчитане и изчисление на възнагражденията.</w:t>
      </w:r>
    </w:p>
    <w:p w14:paraId="1F51D4AA" w14:textId="02C8EF3A" w:rsidR="00AB0364" w:rsidRDefault="00AB0364" w:rsidP="00AB0364">
      <w:pPr>
        <w:spacing w:before="0" w:after="0"/>
        <w:ind w:firstLine="709"/>
        <w:jc w:val="both"/>
      </w:pPr>
      <w:r>
        <w:lastRenderedPageBreak/>
        <w:t>Когато в длъжностната характеристика на служителите по служебно правоотношение не е включено задължение за ра</w:t>
      </w:r>
      <w:r w:rsidR="00277246">
        <w:t>бота по проекти</w:t>
      </w:r>
      <w:r w:rsidR="000E0FF6">
        <w:t>,</w:t>
      </w:r>
      <w:r w:rsidR="00277246">
        <w:t xml:space="preserve"> </w:t>
      </w:r>
      <w:r w:rsidR="00097748">
        <w:t xml:space="preserve">е необходимо да </w:t>
      </w:r>
      <w:r w:rsidR="00277246">
        <w:t>се добав</w:t>
      </w:r>
      <w:r w:rsidR="00097748">
        <w:t>и</w:t>
      </w:r>
      <w:r>
        <w:t xml:space="preserve"> </w:t>
      </w:r>
      <w:r w:rsidR="00097748">
        <w:t xml:space="preserve">такова </w:t>
      </w:r>
      <w:r w:rsidR="00277246">
        <w:t>задължение</w:t>
      </w:r>
      <w:r>
        <w:t>.</w:t>
      </w:r>
    </w:p>
    <w:p w14:paraId="0FDA2FE7" w14:textId="1D4254D5" w:rsidR="00F20D19" w:rsidRPr="009800C9" w:rsidRDefault="00F20D19" w:rsidP="00F20D19">
      <w:pPr>
        <w:spacing w:before="0" w:after="0"/>
        <w:ind w:firstLine="709"/>
        <w:jc w:val="both"/>
        <w:rPr>
          <w:b/>
          <w:lang w:val="en-US"/>
        </w:rPr>
      </w:pPr>
      <w:r w:rsidRPr="00F20D19">
        <w:rPr>
          <w:b/>
        </w:rPr>
        <w:t>3.  Изключения</w:t>
      </w:r>
      <w:r w:rsidR="009800C9">
        <w:rPr>
          <w:b/>
          <w:lang w:val="en-US"/>
        </w:rPr>
        <w:t>.</w:t>
      </w:r>
    </w:p>
    <w:p w14:paraId="041FD31E" w14:textId="045789C8" w:rsidR="00F20D19" w:rsidRDefault="00F20D19" w:rsidP="00F20D19">
      <w:pPr>
        <w:spacing w:before="0" w:after="0"/>
        <w:ind w:firstLine="709"/>
        <w:jc w:val="both"/>
      </w:pPr>
      <w:r>
        <w:t xml:space="preserve"> Постановление № 189 на Министерския съвет от 28 юли 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2014 - 2020 г. е неприложимо за програмите за териториално сътрудничество, финансирани от</w:t>
      </w:r>
      <w:r w:rsidR="00FC7AAE" w:rsidRPr="00FC7AAE">
        <w:t xml:space="preserve"> Европейския фонд за регионално развитие (ЕФРР), Инструмента за предприсъединителна помощ (ИПП) и Европейския инструмент за съседство (ЕИС)</w:t>
      </w:r>
      <w:r>
        <w:t xml:space="preserve">, тъй като е прието на основание чл. 59, ал. 1 от ЗУСЕСИФ, който закон е неприложим по програмите за териториално сътрудничество с изключение на § 5 от допълнителните му разпоредби. </w:t>
      </w:r>
    </w:p>
    <w:p w14:paraId="3A3470B2" w14:textId="6288ADF2" w:rsidR="00F20D19" w:rsidRDefault="0073228E" w:rsidP="0073228E">
      <w:pPr>
        <w:spacing w:before="0" w:after="0"/>
        <w:ind w:firstLine="709"/>
        <w:jc w:val="both"/>
      </w:pPr>
      <w:r>
        <w:t>Предвид на горепосоченото, к</w:t>
      </w:r>
      <w:r w:rsidR="00F20D19">
        <w:t>ъм настоящия момент</w:t>
      </w:r>
      <w:r>
        <w:t xml:space="preserve"> р</w:t>
      </w:r>
      <w:r w:rsidR="00F20D19">
        <w:t xml:space="preserve">азпоредбите на чл. 107а, ал. 9, т. 1;  ал. 14, т. 6 и ал. 17 от КТ  и разпоредбите на чл. </w:t>
      </w:r>
      <w:r w:rsidR="00FC7AAE">
        <w:t xml:space="preserve">21, ал. 4 и чл. 67, ал. 7, т. 6 и ал. 11 от Закона за държавния служител, </w:t>
      </w:r>
      <w:r w:rsidR="00F20D19">
        <w:t>относно допълнителни условия за работещите по трудово и служебно правоотношение в държавната администрация</w:t>
      </w:r>
      <w:r w:rsidR="00FC7AAE">
        <w:t>,</w:t>
      </w:r>
      <w:r w:rsidR="00F20D19">
        <w:t xml:space="preserve"> не се прилагат за български бенефициери по програмите за териториално сътрудничество, финансирани от</w:t>
      </w:r>
      <w:r w:rsidR="00FC7AAE" w:rsidRPr="00FC7AAE">
        <w:t xml:space="preserve"> ЕФРР, ИПП и ЕИС</w:t>
      </w:r>
      <w:r w:rsidR="00FC7AAE">
        <w:t>.</w:t>
      </w:r>
      <w:r w:rsidR="00F20D19">
        <w:t xml:space="preserve"> </w:t>
      </w:r>
    </w:p>
    <w:p w14:paraId="50B30D77" w14:textId="7611B848" w:rsidR="00AB0364" w:rsidRPr="00D91FE2" w:rsidRDefault="00E91C2C" w:rsidP="00AB0364">
      <w:pPr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="00AB0364" w:rsidRPr="00D91FE2">
        <w:rPr>
          <w:b/>
        </w:rPr>
        <w:t>.</w:t>
      </w:r>
      <w:r w:rsidR="00AB0364" w:rsidRPr="00D91FE2">
        <w:rPr>
          <w:b/>
        </w:rPr>
        <w:tab/>
        <w:t>Платен годишен отпуск и възнагражденията за временна</w:t>
      </w:r>
      <w:r w:rsidR="005D4913">
        <w:rPr>
          <w:b/>
        </w:rPr>
        <w:t xml:space="preserve"> нетрудоспособност</w:t>
      </w:r>
      <w:r w:rsidR="00AB0364" w:rsidRPr="00D91FE2">
        <w:rPr>
          <w:b/>
        </w:rPr>
        <w:t>.</w:t>
      </w:r>
    </w:p>
    <w:p w14:paraId="00187C4E" w14:textId="77777777" w:rsidR="00AB0364" w:rsidRDefault="00AB0364" w:rsidP="00AB0364">
      <w:pPr>
        <w:spacing w:before="0" w:after="0"/>
        <w:ind w:firstLine="709"/>
        <w:jc w:val="both"/>
      </w:pPr>
      <w:r>
        <w:t>-</w:t>
      </w:r>
      <w:r>
        <w:tab/>
        <w:t>Разходът на работодателя за обезщетение за временна нетрудоспособност ще се счита за допустим, когато работник/служител назначен на трудово/служебно правоотношение отчита цялото работно време по правоотношението единствено и само за работа по проекта (100% пълно работно време);</w:t>
      </w:r>
    </w:p>
    <w:p w14:paraId="4665694B" w14:textId="718E404F" w:rsidR="00AB0364" w:rsidRDefault="00AB0364" w:rsidP="00AB0364">
      <w:pPr>
        <w:spacing w:before="0" w:after="0"/>
        <w:ind w:firstLine="709"/>
        <w:jc w:val="both"/>
      </w:pPr>
      <w:r>
        <w:t>-</w:t>
      </w:r>
      <w:r>
        <w:tab/>
        <w:t>Пълният размер на възнаграждението за платен годишен отпуск е допустим</w:t>
      </w:r>
      <w:r w:rsidR="000E0FF6">
        <w:t>,</w:t>
      </w:r>
      <w:r>
        <w:t xml:space="preserve"> когато продължителността на трудовото/служебното правоотношение за работа по проекта (100% пълно работно време) е в рамките на продължителността на проекта. Това се отнася и за договорите по чл. 110 КТ и чл. 111 КТ, сключени за целите на проекта, тъй като по всеки от тях възникват самостоятелни права. </w:t>
      </w:r>
    </w:p>
    <w:p w14:paraId="528EA469" w14:textId="79461866" w:rsidR="00D468E2" w:rsidRDefault="00AB0364" w:rsidP="00AB0364">
      <w:pPr>
        <w:spacing w:before="0" w:after="0"/>
        <w:ind w:firstLine="709"/>
        <w:jc w:val="both"/>
      </w:pPr>
      <w:r>
        <w:lastRenderedPageBreak/>
        <w:t>-</w:t>
      </w:r>
      <w:r>
        <w:tab/>
        <w:t>Когато работникът/служителят отчита част от работното си време по проекта с фиксиран процент работни часове на месец</w:t>
      </w:r>
      <w:r w:rsidR="000E0FF6">
        <w:t>,</w:t>
      </w:r>
      <w:r>
        <w:t xml:space="preserve"> разходите за платен годишен отпуск и обезщетение за временна нетрудоспособност се отчитат пропорционално</w:t>
      </w:r>
      <w:r w:rsidR="00D468E2">
        <w:t xml:space="preserve"> на отработеното време по проекта</w:t>
      </w:r>
      <w:r>
        <w:t xml:space="preserve">. </w:t>
      </w:r>
    </w:p>
    <w:p w14:paraId="0FFD0813" w14:textId="360BCEED" w:rsidR="00E91C2C" w:rsidRPr="00E91C2C" w:rsidRDefault="00D468E2" w:rsidP="00E91C2C">
      <w:pPr>
        <w:tabs>
          <w:tab w:val="left" w:pos="1418"/>
        </w:tabs>
        <w:spacing w:before="0" w:after="0"/>
        <w:ind w:firstLine="709"/>
        <w:jc w:val="both"/>
      </w:pPr>
      <w:r>
        <w:t>-</w:t>
      </w:r>
      <w:r w:rsidR="009C794B">
        <w:t xml:space="preserve">        </w:t>
      </w:r>
      <w:r w:rsidR="00AB0364">
        <w:t>Когато работникът/служителят отчита непълно работно време с променлив брой работни часове за месец (</w:t>
      </w:r>
      <w:proofErr w:type="spellStart"/>
      <w:r w:rsidR="00AB0364">
        <w:t>Timesheets</w:t>
      </w:r>
      <w:proofErr w:type="spellEnd"/>
      <w:r w:rsidR="00AB0364">
        <w:t>)</w:t>
      </w:r>
      <w:r w:rsidR="000E0FF6">
        <w:t>,</w:t>
      </w:r>
      <w:r w:rsidR="00AB0364">
        <w:t xml:space="preserve"> разходите за платен годишен отпуск и обезщетение за временна нетрудоспособност </w:t>
      </w:r>
      <w:r w:rsidR="00AB0364" w:rsidRPr="00907B05">
        <w:rPr>
          <w:u w:val="single"/>
        </w:rPr>
        <w:t>са недопустими</w:t>
      </w:r>
      <w:r w:rsidR="00AB0364">
        <w:t xml:space="preserve"> за отчитане по Програмата. </w:t>
      </w:r>
    </w:p>
    <w:p w14:paraId="4CE5CFF7" w14:textId="198D3ADB" w:rsidR="00B50D30" w:rsidRPr="004466DA" w:rsidRDefault="00E91C2C" w:rsidP="00B50D30">
      <w:pPr>
        <w:spacing w:before="0" w:after="0"/>
        <w:ind w:firstLine="709"/>
        <w:jc w:val="both"/>
        <w:rPr>
          <w:b/>
          <w:lang w:val="ru-RU"/>
        </w:rPr>
      </w:pPr>
      <w:r>
        <w:rPr>
          <w:b/>
        </w:rPr>
        <w:t>5</w:t>
      </w:r>
      <w:r w:rsidR="000E0FF6">
        <w:rPr>
          <w:b/>
        </w:rPr>
        <w:t xml:space="preserve">. </w:t>
      </w:r>
      <w:r w:rsidR="00266537">
        <w:rPr>
          <w:b/>
        </w:rPr>
        <w:t xml:space="preserve">    </w:t>
      </w:r>
      <w:r w:rsidR="00B50D30" w:rsidRPr="001B6666">
        <w:rPr>
          <w:b/>
        </w:rPr>
        <w:t>Д</w:t>
      </w:r>
      <w:r w:rsidR="00B50D30" w:rsidRPr="004466DA">
        <w:rPr>
          <w:b/>
          <w:lang w:val="ru-RU"/>
        </w:rPr>
        <w:t>оговор по Закона за задълженията и договорите</w:t>
      </w:r>
      <w:r w:rsidR="00B50D30" w:rsidRPr="001B6666">
        <w:rPr>
          <w:b/>
        </w:rPr>
        <w:t xml:space="preserve"> (граждански договор)</w:t>
      </w:r>
      <w:r w:rsidR="000E0FF6">
        <w:rPr>
          <w:b/>
        </w:rPr>
        <w:t>.</w:t>
      </w:r>
    </w:p>
    <w:p w14:paraId="31A78F7E" w14:textId="28DF61E4" w:rsidR="00AB0364" w:rsidRDefault="00B50D30" w:rsidP="00BD4C73">
      <w:pPr>
        <w:spacing w:before="0" w:after="0"/>
        <w:ind w:firstLine="709"/>
        <w:jc w:val="both"/>
      </w:pPr>
      <w:r>
        <w:t>Със служители на организацията</w:t>
      </w:r>
      <w:r w:rsidR="002C1455">
        <w:t>,</w:t>
      </w:r>
      <w:r>
        <w:t xml:space="preserve"> назначени по служебно или трудово правоотношение</w:t>
      </w:r>
      <w:r w:rsidR="002C1455">
        <w:t>,</w:t>
      </w:r>
      <w:r>
        <w:t xml:space="preserve"> може да бъде сключен договор по Закона за задълженията и договорите (ЗЗД) – само за дейности</w:t>
      </w:r>
      <w:r w:rsidR="000E0FF6">
        <w:t>,</w:t>
      </w:r>
      <w:r>
        <w:t xml:space="preserve"> предвидени в бюджета на бюджетна категория „Външна експертиза и услуги“, като се спазват законодателството в областта на обществените поръчки и правилата на програмата. Възложените дейностите по договора по ЗЗД не трябва да се припокриват с тези по основното право</w:t>
      </w:r>
      <w:r w:rsidR="008E41E1">
        <w:t>отношение на служителя. Експерт</w:t>
      </w:r>
      <w:r w:rsidR="002C1455">
        <w:t>,</w:t>
      </w:r>
      <w:r w:rsidR="008E41E1">
        <w:rPr>
          <w:lang w:val="en-US"/>
        </w:rPr>
        <w:t xml:space="preserve"> </w:t>
      </w:r>
      <w:r>
        <w:t>получаващ и отчитащ възнаграждението си по бюджетна категория „Разходи за персонал“</w:t>
      </w:r>
      <w:r w:rsidR="002C1455">
        <w:t>,</w:t>
      </w:r>
      <w:r>
        <w:t xml:space="preserve"> не може да бъде наеман за работа по проекта в качеството си на външен експерт.</w:t>
      </w:r>
    </w:p>
    <w:p w14:paraId="067A12A3" w14:textId="5A73B31D" w:rsidR="00BF6B62" w:rsidRPr="001F5C75" w:rsidRDefault="00E91C2C" w:rsidP="00BD4C73">
      <w:pPr>
        <w:spacing w:before="0" w:after="0"/>
        <w:ind w:firstLine="709"/>
        <w:jc w:val="both"/>
        <w:rPr>
          <w:b/>
        </w:rPr>
      </w:pPr>
      <w:r>
        <w:rPr>
          <w:b/>
        </w:rPr>
        <w:t>6</w:t>
      </w:r>
      <w:r w:rsidR="00BD4C73">
        <w:rPr>
          <w:b/>
        </w:rPr>
        <w:t xml:space="preserve">. </w:t>
      </w:r>
      <w:r w:rsidR="00266537">
        <w:rPr>
          <w:b/>
        </w:rPr>
        <w:t xml:space="preserve"> </w:t>
      </w:r>
      <w:r w:rsidR="00BD4C73">
        <w:rPr>
          <w:b/>
        </w:rPr>
        <w:t>Разлика</w:t>
      </w:r>
      <w:r w:rsidR="00BD4C73" w:rsidRPr="001F5C75">
        <w:rPr>
          <w:b/>
        </w:rPr>
        <w:t xml:space="preserve"> между трудов догово</w:t>
      </w:r>
      <w:r w:rsidR="00BD4C73">
        <w:rPr>
          <w:b/>
        </w:rPr>
        <w:t>р по Кодекса на труда и договор за изработка (услуга) по З</w:t>
      </w:r>
      <w:r w:rsidR="00BD4C73" w:rsidRPr="001F5C75">
        <w:rPr>
          <w:b/>
        </w:rPr>
        <w:t>ако</w:t>
      </w:r>
      <w:r w:rsidR="00BD4C73">
        <w:rPr>
          <w:b/>
        </w:rPr>
        <w:t>на за задълженията и договорите.</w:t>
      </w:r>
    </w:p>
    <w:p w14:paraId="3D62658B" w14:textId="7037B421" w:rsidR="00BF6B62" w:rsidRDefault="00BF6B62" w:rsidP="00BF6B62">
      <w:pPr>
        <w:spacing w:before="0" w:after="0"/>
        <w:ind w:firstLine="709"/>
        <w:jc w:val="both"/>
      </w:pPr>
      <w:r w:rsidRPr="00BF6B62">
        <w:t>Предмет на трудовия договор</w:t>
      </w:r>
      <w:r>
        <w:t>, регламентиран в КТ,</w:t>
      </w:r>
      <w:r w:rsidRPr="00BF6B62">
        <w:t xml:space="preserve"> е самият жив труд на работника или служителя. По силата на трудовия договор едно физическо лице предоставя работната си сила за и</w:t>
      </w:r>
      <w:r>
        <w:t>зпълнение на даден вид работа.</w:t>
      </w:r>
      <w:r w:rsidRPr="00BF6B62">
        <w:t xml:space="preserve"> Наричаният в практиката „граждански договор” за полагане на труд по правна същност е облигационният договор за изработка по чл. 258-269 от Закон за</w:t>
      </w:r>
      <w:r w:rsidR="008E41E1">
        <w:t xml:space="preserve"> задълженията и договорите</w:t>
      </w:r>
      <w:r w:rsidRPr="00BF6B62">
        <w:t>.</w:t>
      </w:r>
    </w:p>
    <w:p w14:paraId="57FBB71C" w14:textId="6FA8105D" w:rsidR="00BF6B62" w:rsidRDefault="00BE1A74" w:rsidP="00BF6B62">
      <w:pPr>
        <w:spacing w:before="0" w:after="0"/>
        <w:ind w:firstLine="709"/>
        <w:jc w:val="both"/>
      </w:pPr>
      <w:r>
        <w:t xml:space="preserve"> П</w:t>
      </w:r>
      <w:r w:rsidR="00BF6B62" w:rsidRPr="00BF6B62">
        <w:t xml:space="preserve">редмет на гражданския договор е постигане на конкретен резултат, който, макар и свързан с полагане на труд, предполага пълна самостоятелност до получаване на крайния продукт, предмет на облигационен договор. Основната разлика между трудовия договор и договора за услуга се състои в елементите работно време, работно </w:t>
      </w:r>
      <w:r w:rsidR="00BF6B62" w:rsidRPr="00BF6B62">
        <w:lastRenderedPageBreak/>
        <w:t>място и задължение за спазване на определена трудова дисциплина, както и в йерархичната зависимост на работника при трудов договор, докато при договора за услуга изпълнителят е независим от насрещната страна при осъществяването на уговорения резултат, т.е. възложителят може да не одобри и да не приеме този резултат, но не може да наложи дисциплинарно наказание на изпълнителя, затова че последният се е отклонил от уговореното, нито пък е властен да упражнява над него някакъв йерархичен контрол.</w:t>
      </w:r>
    </w:p>
    <w:p w14:paraId="00778848" w14:textId="7C86228B" w:rsidR="00BF6B62" w:rsidRDefault="00BF6B62" w:rsidP="00BF6B62">
      <w:pPr>
        <w:spacing w:before="0" w:after="0"/>
        <w:ind w:firstLine="709"/>
        <w:jc w:val="both"/>
      </w:pPr>
      <w:r>
        <w:t xml:space="preserve">Разликата между трудов и граждански договор е анализирана в Тълкувателно решение № 86 от 27.02.1986 г. на ОСГК на Върховния съд. Разграничението е в зависимост от предмета на сключения договор. Ако между гражданскоправните субекти се уговори </w:t>
      </w:r>
      <w:proofErr w:type="spellStart"/>
      <w:r>
        <w:t>престиране</w:t>
      </w:r>
      <w:proofErr w:type="spellEnd"/>
      <w:r>
        <w:t xml:space="preserve"> на определен трудов резултат (</w:t>
      </w:r>
      <w:proofErr w:type="spellStart"/>
      <w:r>
        <w:t>овеществен</w:t>
      </w:r>
      <w:proofErr w:type="spellEnd"/>
      <w:r>
        <w:t xml:space="preserve"> труд), сключеният договор не е трудов, а граждански, чиято правна регламентация е в ЗЗД.</w:t>
      </w:r>
    </w:p>
    <w:p w14:paraId="6911AE36" w14:textId="77777777" w:rsidR="00131366" w:rsidRDefault="00BF6B62" w:rsidP="00BF6B62">
      <w:pPr>
        <w:spacing w:before="0" w:after="0"/>
        <w:ind w:firstLine="709"/>
        <w:jc w:val="both"/>
      </w:pPr>
      <w:r>
        <w:t xml:space="preserve">Когато предметът на сключения договор е </w:t>
      </w:r>
      <w:proofErr w:type="spellStart"/>
      <w:r>
        <w:t>престиране</w:t>
      </w:r>
      <w:proofErr w:type="spellEnd"/>
      <w:r>
        <w:t xml:space="preserve"> на работна сила (жив труд) и работникът или служителят е длъжен да спазва установена от работодателя трудова дисциплина, работно време, работно място, налице са най-съществените белези, които характеризират трудовия договор, който се сключва при условията и по реда на КТ.</w:t>
      </w:r>
      <w:r w:rsidRPr="00BF6B62">
        <w:t xml:space="preserve"> </w:t>
      </w:r>
    </w:p>
    <w:p w14:paraId="31CB271A" w14:textId="66552DE6" w:rsidR="00BF6B62" w:rsidRDefault="00BF6B62" w:rsidP="00BF6B62">
      <w:pPr>
        <w:spacing w:before="0" w:after="0"/>
        <w:ind w:firstLine="709"/>
        <w:jc w:val="both"/>
      </w:pPr>
      <w:r>
        <w:t>Различни са и вътрешните отношения между страните по двата договора. При договора за изработка изпълнителят е самостоятелен и независим от този, който му поръчва работата и изисква от него доставянето на резултата от нея. Той не се интересува от организацията на труда, нито я създава. Изпълнителят сам организира трудовата си дейност и постига дължимия резултат.</w:t>
      </w:r>
    </w:p>
    <w:p w14:paraId="59A7E410" w14:textId="77777777" w:rsidR="00BF6B62" w:rsidRDefault="00BF6B62" w:rsidP="00BF6B62">
      <w:pPr>
        <w:spacing w:before="0" w:after="0"/>
        <w:ind w:firstLine="709"/>
        <w:jc w:val="both"/>
      </w:pPr>
      <w:r>
        <w:t>При трудовия договор работникът или служителят е подчинен на и зависим от работодателя. Той работи под негов контрол, указания, нареждания и при ред, създаден от работодателя, които е длъжен да спазва.</w:t>
      </w:r>
    </w:p>
    <w:p w14:paraId="4F8E4F64" w14:textId="6BF81963" w:rsidR="00BF6B62" w:rsidRDefault="00BF6B62" w:rsidP="00BF6B62">
      <w:pPr>
        <w:spacing w:before="0" w:after="0"/>
        <w:ind w:firstLine="709"/>
        <w:jc w:val="both"/>
      </w:pPr>
      <w:r>
        <w:t xml:space="preserve">Следователно гражданският договор не може да бъде „приравнен“ на трудов и лицата, работещи по граждански договор, не могат да участват в определянето на </w:t>
      </w:r>
      <w:proofErr w:type="spellStart"/>
      <w:r>
        <w:t>средносписъчната</w:t>
      </w:r>
      <w:proofErr w:type="spellEnd"/>
      <w:r>
        <w:t xml:space="preserve"> численост на персонала (щатното разписание, щатната таблица) в</w:t>
      </w:r>
      <w:r w:rsidR="00D1161F">
        <w:t xml:space="preserve"> организацията</w:t>
      </w:r>
      <w:r>
        <w:t>.</w:t>
      </w:r>
    </w:p>
    <w:p w14:paraId="27E5BFD5" w14:textId="77777777" w:rsidR="005C33FC" w:rsidRPr="00C621A4" w:rsidRDefault="005C33FC" w:rsidP="00C621A4">
      <w:pPr>
        <w:spacing w:line="480" w:lineRule="auto"/>
        <w:ind w:firstLine="0"/>
        <w:rPr>
          <w:b/>
          <w:lang w:val="en-US"/>
        </w:rPr>
      </w:pPr>
    </w:p>
    <w:sectPr w:rsidR="005C33FC" w:rsidRPr="00C621A4" w:rsidSect="007E54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8" w:right="1134" w:bottom="567" w:left="1701" w:header="56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DA18" w14:textId="77777777" w:rsidR="00181E98" w:rsidRDefault="00181E98">
      <w:r>
        <w:separator/>
      </w:r>
    </w:p>
  </w:endnote>
  <w:endnote w:type="continuationSeparator" w:id="0">
    <w:p w14:paraId="01789FC8" w14:textId="77777777" w:rsidR="00181E98" w:rsidRDefault="0018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637556"/>
      <w:docPartObj>
        <w:docPartGallery w:val="Page Numbers (Bottom of Page)"/>
        <w:docPartUnique/>
      </w:docPartObj>
    </w:sdtPr>
    <w:sdtEndPr/>
    <w:sdtContent>
      <w:sdt>
        <w:sdtPr>
          <w:id w:val="412900298"/>
          <w:docPartObj>
            <w:docPartGallery w:val="Page Numbers (Top of Page)"/>
            <w:docPartUnique/>
          </w:docPartObj>
        </w:sdtPr>
        <w:sdtEndPr/>
        <w:sdtContent>
          <w:p w14:paraId="3748A1F0" w14:textId="77777777" w:rsidR="00F11CDD" w:rsidRPr="00A503EB" w:rsidRDefault="00F11CDD" w:rsidP="00F11CDD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гр. София, ул. </w:t>
            </w:r>
            <w:r w:rsidRPr="009D2647">
              <w:rPr>
                <w:sz w:val="20"/>
                <w:szCs w:val="20"/>
                <w:lang w:val="ru-RU"/>
              </w:rPr>
              <w:t>„</w:t>
            </w:r>
            <w:r>
              <w:rPr>
                <w:sz w:val="20"/>
                <w:szCs w:val="20"/>
              </w:rPr>
              <w:t>Св.</w:t>
            </w:r>
            <w:r w:rsidRPr="009D264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Св. Кирил и Методий</w:t>
            </w:r>
            <w:r w:rsidRPr="00A35212">
              <w:rPr>
                <w:sz w:val="20"/>
                <w:szCs w:val="20"/>
                <w:lang w:val="ru-RU"/>
              </w:rPr>
              <w:t>“</w:t>
            </w:r>
            <w:r>
              <w:rPr>
                <w:sz w:val="20"/>
                <w:szCs w:val="20"/>
              </w:rPr>
              <w:t xml:space="preserve"> №1</w:t>
            </w:r>
            <w:r w:rsidRPr="00A503EB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-1</w:t>
            </w:r>
            <w:r w:rsidRPr="00A503EB">
              <w:rPr>
                <w:sz w:val="20"/>
                <w:szCs w:val="20"/>
                <w:lang w:val="ru-RU"/>
              </w:rPr>
              <w:t>9</w:t>
            </w:r>
          </w:p>
          <w:p w14:paraId="78793B11" w14:textId="77777777" w:rsidR="00F11CDD" w:rsidRPr="005F4D51" w:rsidRDefault="00F11CDD" w:rsidP="00F11CDD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  <w:lang w:val="ru-RU"/>
              </w:rPr>
              <w:t xml:space="preserve"> 94</w:t>
            </w:r>
            <w:r w:rsidRPr="00A503EB">
              <w:rPr>
                <w:sz w:val="20"/>
                <w:szCs w:val="20"/>
                <w:lang w:val="ru-RU"/>
              </w:rPr>
              <w:t>05</w:t>
            </w:r>
            <w:r w:rsidRPr="00DF1289">
              <w:rPr>
                <w:sz w:val="20"/>
                <w:szCs w:val="20"/>
                <w:lang w:val="ru-RU"/>
              </w:rPr>
              <w:t xml:space="preserve"> </w:t>
            </w:r>
            <w:r w:rsidRPr="00A503EB">
              <w:rPr>
                <w:sz w:val="20"/>
                <w:szCs w:val="20"/>
                <w:lang w:val="ru-RU"/>
              </w:rPr>
              <w:t>9</w:t>
            </w:r>
            <w:r w:rsidRPr="00DF1289"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</w:rPr>
              <w:t>, факс</w:t>
            </w:r>
            <w:r w:rsidRPr="00A503EB">
              <w:rPr>
                <w:sz w:val="20"/>
                <w:szCs w:val="20"/>
                <w:lang w:val="ru-RU"/>
              </w:rPr>
              <w:t xml:space="preserve"> 987 25 17</w:t>
            </w:r>
            <w:r w:rsidRPr="00A35212">
              <w:rPr>
                <w:rStyle w:val="Hyperlink"/>
                <w:sz w:val="20"/>
                <w:szCs w:val="20"/>
                <w:lang w:val="ru-RU"/>
              </w:rPr>
              <w:t xml:space="preserve"> </w:t>
            </w:r>
            <w:r w:rsidRPr="005F4D51">
              <w:rPr>
                <w:sz w:val="20"/>
                <w:szCs w:val="20"/>
                <w:lang w:val="ru-RU"/>
              </w:rPr>
              <w:t>e-mail: e-mrrb@mrrb.government.bg</w:t>
            </w:r>
          </w:p>
          <w:p w14:paraId="5DDBF4EF" w14:textId="77777777" w:rsidR="00F11CDD" w:rsidRPr="005F4D51" w:rsidRDefault="00181E98" w:rsidP="00F11CDD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20"/>
                <w:szCs w:val="20"/>
                <w:lang w:val="ru-RU"/>
              </w:rPr>
            </w:pPr>
            <w:hyperlink r:id="rId1" w:history="1">
              <w:r w:rsidR="00F11CDD" w:rsidRPr="005F4D51">
                <w:rPr>
                  <w:sz w:val="20"/>
                  <w:szCs w:val="20"/>
                  <w:lang w:val="ru-RU"/>
                </w:rPr>
                <w:t>www.mrrb.government.bg</w:t>
              </w:r>
            </w:hyperlink>
            <w:r w:rsidR="00F11CDD" w:rsidRPr="005F4D51">
              <w:rPr>
                <w:sz w:val="20"/>
                <w:szCs w:val="20"/>
                <w:lang w:val="ru-RU"/>
              </w:rPr>
              <w:t xml:space="preserve">; </w:t>
            </w:r>
          </w:p>
          <w:p w14:paraId="5A50551B" w14:textId="334BCD4D" w:rsidR="00120D09" w:rsidRDefault="005F4D51" w:rsidP="005F4D51">
            <w:pPr>
              <w:pStyle w:val="Footer"/>
              <w:tabs>
                <w:tab w:val="clear" w:pos="9072"/>
                <w:tab w:val="left" w:pos="5888"/>
                <w:tab w:val="right" w:pos="9071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56DDD64E" w14:textId="77777777" w:rsidR="00682E20" w:rsidRDefault="00682E20" w:rsidP="00120D09">
    <w:pPr>
      <w:pStyle w:val="Footer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E01B" w14:textId="77777777" w:rsidR="003736FE" w:rsidRPr="00F11CDD" w:rsidRDefault="004D67CA" w:rsidP="00F11CDD">
    <w:pPr>
      <w:pStyle w:val="Footer"/>
    </w:pPr>
    <w:r w:rsidRPr="00F11CD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647AB" w14:textId="77777777" w:rsidR="00181E98" w:rsidRDefault="00181E98">
      <w:r>
        <w:separator/>
      </w:r>
    </w:p>
  </w:footnote>
  <w:footnote w:type="continuationSeparator" w:id="0">
    <w:p w14:paraId="1367472F" w14:textId="77777777" w:rsidR="00181E98" w:rsidRDefault="0018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211"/>
    </w:tblGrid>
    <w:tr w:rsidR="00ED6A71" w14:paraId="27AA7162" w14:textId="77777777" w:rsidTr="003A5A12">
      <w:tc>
        <w:tcPr>
          <w:tcW w:w="9211" w:type="dxa"/>
        </w:tcPr>
        <w:p w14:paraId="7484D9F5" w14:textId="533076E3" w:rsidR="00ED6A71" w:rsidRDefault="00ED6A71" w:rsidP="003A5A12">
          <w:pPr>
            <w:pStyle w:val="Header"/>
            <w:ind w:firstLine="0"/>
            <w:jc w:val="center"/>
          </w:pPr>
        </w:p>
      </w:tc>
    </w:tr>
  </w:tbl>
  <w:p w14:paraId="50CC8D4C" w14:textId="77777777" w:rsidR="00682E20" w:rsidRPr="00ED6A71" w:rsidRDefault="00682E20" w:rsidP="00ED6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08"/>
    </w:tblGrid>
    <w:tr w:rsidR="0039068A" w14:paraId="67601A57" w14:textId="77777777" w:rsidTr="00941373">
      <w:trPr>
        <w:trHeight w:val="1445"/>
      </w:trPr>
      <w:tc>
        <w:tcPr>
          <w:tcW w:w="9108" w:type="dxa"/>
        </w:tcPr>
        <w:p w14:paraId="40F4865C" w14:textId="77777777" w:rsidR="0039068A" w:rsidRDefault="0039068A" w:rsidP="00B25E5C">
          <w:pPr>
            <w:ind w:firstLine="0"/>
            <w:jc w:val="center"/>
            <w:rPr>
              <w:rFonts w:asciiTheme="minorHAnsi" w:hAnsiTheme="minorHAnsi"/>
              <w:b/>
            </w:rPr>
          </w:pPr>
          <w:r w:rsidRPr="00821983">
            <w:rPr>
              <w:rFonts w:ascii="Times New Roman Bold" w:hAnsi="Times New Roman Bold" w:hint="eastAsia"/>
              <w:b/>
            </w:rPr>
            <w:t>М</w:t>
          </w:r>
          <w:r>
            <w:rPr>
              <w:rFonts w:ascii="Times New Roman Bold" w:hAnsi="Times New Roman Bold" w:hint="eastAsia"/>
              <w:b/>
            </w:rPr>
            <w:t>ИНИСТ</w:t>
          </w:r>
          <w:r w:rsidRPr="0039068A">
            <w:rPr>
              <w:rFonts w:ascii="Times New Roman Bold" w:hAnsi="Times New Roman Bold" w:hint="eastAsia"/>
              <w:b/>
            </w:rPr>
            <w:t>ЕРСТВО</w:t>
          </w:r>
          <w:r w:rsidRPr="00821983">
            <w:rPr>
              <w:rFonts w:ascii="Times New Roman Bold" w:hAnsi="Times New Roman Bold"/>
              <w:b/>
            </w:rPr>
            <w:t xml:space="preserve"> </w:t>
          </w:r>
          <w:r w:rsidRPr="00821983">
            <w:rPr>
              <w:rFonts w:ascii="Times New Roman Bold" w:hAnsi="Times New Roman Bold" w:hint="eastAsia"/>
              <w:b/>
            </w:rPr>
            <w:t>НА</w:t>
          </w:r>
          <w:r w:rsidRPr="00821983">
            <w:rPr>
              <w:rFonts w:ascii="Times New Roman Bold" w:hAnsi="Times New Roman Bold"/>
              <w:b/>
            </w:rPr>
            <w:t xml:space="preserve"> </w:t>
          </w:r>
          <w:r w:rsidRPr="00821983">
            <w:rPr>
              <w:rFonts w:ascii="Times New Roman Bold" w:hAnsi="Times New Roman Bold" w:hint="eastAsia"/>
              <w:b/>
            </w:rPr>
            <w:t>РЕГИОНАЛНОТО</w:t>
          </w:r>
          <w:r w:rsidRPr="00821983">
            <w:rPr>
              <w:rFonts w:ascii="Times New Roman Bold" w:hAnsi="Times New Roman Bold"/>
              <w:b/>
            </w:rPr>
            <w:t xml:space="preserve"> </w:t>
          </w:r>
          <w:r w:rsidRPr="00821983">
            <w:rPr>
              <w:rFonts w:ascii="Times New Roman Bold" w:hAnsi="Times New Roman Bold" w:hint="eastAsia"/>
              <w:b/>
            </w:rPr>
            <w:t>РАЗВИТИЕ</w:t>
          </w:r>
          <w:r w:rsidRPr="00821983">
            <w:rPr>
              <w:rFonts w:ascii="Times New Roman Bold" w:hAnsi="Times New Roman Bold"/>
              <w:b/>
            </w:rPr>
            <w:t xml:space="preserve"> </w:t>
          </w:r>
          <w:r w:rsidRPr="00821983">
            <w:rPr>
              <w:rFonts w:ascii="Times New Roman Bold" w:hAnsi="Times New Roman Bold" w:hint="eastAsia"/>
              <w:b/>
            </w:rPr>
            <w:t>И</w:t>
          </w:r>
          <w:r w:rsidRPr="00821983">
            <w:rPr>
              <w:rFonts w:ascii="Times New Roman Bold" w:hAnsi="Times New Roman Bold"/>
              <w:b/>
            </w:rPr>
            <w:t xml:space="preserve"> </w:t>
          </w:r>
          <w:r w:rsidRPr="00821983">
            <w:rPr>
              <w:rFonts w:ascii="Times New Roman Bold" w:hAnsi="Times New Roman Bold" w:hint="eastAsia"/>
              <w:b/>
            </w:rPr>
            <w:t>БЛАГОУСТРОЙСТВОТО</w:t>
          </w:r>
        </w:p>
        <w:p w14:paraId="7FD34738" w14:textId="77777777" w:rsidR="0039068A" w:rsidRPr="00A35212" w:rsidRDefault="0039068A" w:rsidP="00F11CDD">
          <w:pPr>
            <w:ind w:firstLine="0"/>
            <w:jc w:val="center"/>
            <w:rPr>
              <w:b/>
              <w:lang w:val="ru-RU"/>
            </w:rPr>
          </w:pPr>
          <w:r w:rsidRPr="0039068A">
            <w:rPr>
              <w:b/>
            </w:rPr>
            <w:t>Дирекция „</w:t>
          </w:r>
          <w:r w:rsidR="00F11CDD">
            <w:rPr>
              <w:b/>
            </w:rPr>
            <w:t>Управление на териториалното сътрудничество</w:t>
          </w:r>
          <w:r w:rsidRPr="0039068A">
            <w:rPr>
              <w:b/>
            </w:rPr>
            <w:t>“</w:t>
          </w:r>
        </w:p>
      </w:tc>
    </w:tr>
  </w:tbl>
  <w:p w14:paraId="6CDF6421" w14:textId="77777777" w:rsidR="0035704D" w:rsidRPr="00A35212" w:rsidRDefault="0035704D" w:rsidP="004D67CA">
    <w:pPr>
      <w:ind w:firstLine="0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79E7"/>
    <w:multiLevelType w:val="hybridMultilevel"/>
    <w:tmpl w:val="5838F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A2AB8"/>
    <w:multiLevelType w:val="hybridMultilevel"/>
    <w:tmpl w:val="290C1424"/>
    <w:lvl w:ilvl="0" w:tplc="F5B6F4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1193F"/>
    <w:multiLevelType w:val="hybridMultilevel"/>
    <w:tmpl w:val="509A87DE"/>
    <w:lvl w:ilvl="0" w:tplc="7B6C5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21861"/>
    <w:multiLevelType w:val="hybridMultilevel"/>
    <w:tmpl w:val="F4EA72E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7D034B"/>
    <w:multiLevelType w:val="hybridMultilevel"/>
    <w:tmpl w:val="B17C7C8E"/>
    <w:lvl w:ilvl="0" w:tplc="9D041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AD7D61"/>
    <w:multiLevelType w:val="hybridMultilevel"/>
    <w:tmpl w:val="9362A28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6745F1"/>
    <w:multiLevelType w:val="hybridMultilevel"/>
    <w:tmpl w:val="7D443F4A"/>
    <w:lvl w:ilvl="0" w:tplc="40580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E860E9"/>
    <w:multiLevelType w:val="hybridMultilevel"/>
    <w:tmpl w:val="2E3658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560B44"/>
    <w:multiLevelType w:val="hybridMultilevel"/>
    <w:tmpl w:val="53BCE71A"/>
    <w:lvl w:ilvl="0" w:tplc="8F148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316F9"/>
    <w:multiLevelType w:val="hybridMultilevel"/>
    <w:tmpl w:val="CBB45F12"/>
    <w:lvl w:ilvl="0" w:tplc="8F6830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C6B59D2"/>
    <w:multiLevelType w:val="hybridMultilevel"/>
    <w:tmpl w:val="454284AA"/>
    <w:lvl w:ilvl="0" w:tplc="91804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84"/>
    <w:rsid w:val="0000313C"/>
    <w:rsid w:val="00011EAB"/>
    <w:rsid w:val="00015660"/>
    <w:rsid w:val="00017451"/>
    <w:rsid w:val="000208AF"/>
    <w:rsid w:val="00023F0A"/>
    <w:rsid w:val="00026AB4"/>
    <w:rsid w:val="00032511"/>
    <w:rsid w:val="00032AF3"/>
    <w:rsid w:val="0003635C"/>
    <w:rsid w:val="00037593"/>
    <w:rsid w:val="000428DA"/>
    <w:rsid w:val="000515D8"/>
    <w:rsid w:val="000543BD"/>
    <w:rsid w:val="00072BC8"/>
    <w:rsid w:val="00074BD4"/>
    <w:rsid w:val="0008513C"/>
    <w:rsid w:val="0008612E"/>
    <w:rsid w:val="000961E2"/>
    <w:rsid w:val="00097748"/>
    <w:rsid w:val="000A37C0"/>
    <w:rsid w:val="000A4EAE"/>
    <w:rsid w:val="000A5F38"/>
    <w:rsid w:val="000A7F98"/>
    <w:rsid w:val="000B09D2"/>
    <w:rsid w:val="000B198A"/>
    <w:rsid w:val="000B5D29"/>
    <w:rsid w:val="000B606E"/>
    <w:rsid w:val="000B7DC4"/>
    <w:rsid w:val="000C778F"/>
    <w:rsid w:val="000D73DE"/>
    <w:rsid w:val="000E0FF6"/>
    <w:rsid w:val="00113C1B"/>
    <w:rsid w:val="001168E1"/>
    <w:rsid w:val="00120D09"/>
    <w:rsid w:val="00122688"/>
    <w:rsid w:val="00127E4D"/>
    <w:rsid w:val="00127EED"/>
    <w:rsid w:val="00131366"/>
    <w:rsid w:val="00132FFD"/>
    <w:rsid w:val="00137E27"/>
    <w:rsid w:val="00143922"/>
    <w:rsid w:val="00145E77"/>
    <w:rsid w:val="00146ABA"/>
    <w:rsid w:val="0015210F"/>
    <w:rsid w:val="0016331D"/>
    <w:rsid w:val="00166203"/>
    <w:rsid w:val="0017333C"/>
    <w:rsid w:val="00181E98"/>
    <w:rsid w:val="00190135"/>
    <w:rsid w:val="001906C5"/>
    <w:rsid w:val="001973C6"/>
    <w:rsid w:val="001A5B9C"/>
    <w:rsid w:val="001B6666"/>
    <w:rsid w:val="001B7667"/>
    <w:rsid w:val="001C1AAD"/>
    <w:rsid w:val="001D10F8"/>
    <w:rsid w:val="001E1860"/>
    <w:rsid w:val="001E44F0"/>
    <w:rsid w:val="001F275A"/>
    <w:rsid w:val="001F30E8"/>
    <w:rsid w:val="001F3FB5"/>
    <w:rsid w:val="001F550E"/>
    <w:rsid w:val="001F5C75"/>
    <w:rsid w:val="002003C8"/>
    <w:rsid w:val="00201C0A"/>
    <w:rsid w:val="002118B7"/>
    <w:rsid w:val="002249A7"/>
    <w:rsid w:val="002258E2"/>
    <w:rsid w:val="00234C84"/>
    <w:rsid w:val="0024119F"/>
    <w:rsid w:val="002414DF"/>
    <w:rsid w:val="0024403C"/>
    <w:rsid w:val="00246101"/>
    <w:rsid w:val="00252835"/>
    <w:rsid w:val="00256640"/>
    <w:rsid w:val="002566D6"/>
    <w:rsid w:val="00260991"/>
    <w:rsid w:val="0026490C"/>
    <w:rsid w:val="00264972"/>
    <w:rsid w:val="00266537"/>
    <w:rsid w:val="00272B22"/>
    <w:rsid w:val="00276FBF"/>
    <w:rsid w:val="00277246"/>
    <w:rsid w:val="00282ACC"/>
    <w:rsid w:val="00290E1D"/>
    <w:rsid w:val="002B00DE"/>
    <w:rsid w:val="002B45C3"/>
    <w:rsid w:val="002C1455"/>
    <w:rsid w:val="002D0609"/>
    <w:rsid w:val="002D3962"/>
    <w:rsid w:val="002E1186"/>
    <w:rsid w:val="002E129A"/>
    <w:rsid w:val="002E2B51"/>
    <w:rsid w:val="002E4342"/>
    <w:rsid w:val="002F0862"/>
    <w:rsid w:val="00322AD7"/>
    <w:rsid w:val="003312DA"/>
    <w:rsid w:val="00346900"/>
    <w:rsid w:val="003544D4"/>
    <w:rsid w:val="0035704D"/>
    <w:rsid w:val="00357EBC"/>
    <w:rsid w:val="00360580"/>
    <w:rsid w:val="003622CA"/>
    <w:rsid w:val="00362B09"/>
    <w:rsid w:val="003736FE"/>
    <w:rsid w:val="00373984"/>
    <w:rsid w:val="0037679B"/>
    <w:rsid w:val="003809D3"/>
    <w:rsid w:val="0038273F"/>
    <w:rsid w:val="0039068A"/>
    <w:rsid w:val="0039470A"/>
    <w:rsid w:val="00397E61"/>
    <w:rsid w:val="003A0E45"/>
    <w:rsid w:val="003A4BC3"/>
    <w:rsid w:val="003B01AF"/>
    <w:rsid w:val="003B3457"/>
    <w:rsid w:val="003B504F"/>
    <w:rsid w:val="003D7E3A"/>
    <w:rsid w:val="003E05D7"/>
    <w:rsid w:val="003F55A6"/>
    <w:rsid w:val="0040580B"/>
    <w:rsid w:val="00406EC8"/>
    <w:rsid w:val="00407CDE"/>
    <w:rsid w:val="004111EB"/>
    <w:rsid w:val="00411956"/>
    <w:rsid w:val="00413994"/>
    <w:rsid w:val="00415ED8"/>
    <w:rsid w:val="004178FB"/>
    <w:rsid w:val="00434450"/>
    <w:rsid w:val="004466DA"/>
    <w:rsid w:val="00455230"/>
    <w:rsid w:val="00457358"/>
    <w:rsid w:val="004676CB"/>
    <w:rsid w:val="00470740"/>
    <w:rsid w:val="00475D52"/>
    <w:rsid w:val="00484AF2"/>
    <w:rsid w:val="0048547B"/>
    <w:rsid w:val="00485EC5"/>
    <w:rsid w:val="00487637"/>
    <w:rsid w:val="0049182A"/>
    <w:rsid w:val="00493008"/>
    <w:rsid w:val="00494BBA"/>
    <w:rsid w:val="00495290"/>
    <w:rsid w:val="004956B7"/>
    <w:rsid w:val="004A2C3F"/>
    <w:rsid w:val="004A3F0C"/>
    <w:rsid w:val="004A6D4E"/>
    <w:rsid w:val="004A7C14"/>
    <w:rsid w:val="004B2344"/>
    <w:rsid w:val="004C46C8"/>
    <w:rsid w:val="004C68B4"/>
    <w:rsid w:val="004C69F9"/>
    <w:rsid w:val="004D2049"/>
    <w:rsid w:val="004D49C2"/>
    <w:rsid w:val="004D67CA"/>
    <w:rsid w:val="004E21D1"/>
    <w:rsid w:val="004E3E4C"/>
    <w:rsid w:val="004F0121"/>
    <w:rsid w:val="004F075F"/>
    <w:rsid w:val="004F2B2E"/>
    <w:rsid w:val="005000EE"/>
    <w:rsid w:val="00506FDA"/>
    <w:rsid w:val="00511948"/>
    <w:rsid w:val="00513F79"/>
    <w:rsid w:val="0051547C"/>
    <w:rsid w:val="00522E2B"/>
    <w:rsid w:val="00535A46"/>
    <w:rsid w:val="00540542"/>
    <w:rsid w:val="00540877"/>
    <w:rsid w:val="00551210"/>
    <w:rsid w:val="00557C1C"/>
    <w:rsid w:val="00564A1E"/>
    <w:rsid w:val="00566E16"/>
    <w:rsid w:val="00572029"/>
    <w:rsid w:val="00594D1E"/>
    <w:rsid w:val="005959B1"/>
    <w:rsid w:val="00597130"/>
    <w:rsid w:val="005A0C1E"/>
    <w:rsid w:val="005A366F"/>
    <w:rsid w:val="005A4C22"/>
    <w:rsid w:val="005B7096"/>
    <w:rsid w:val="005C33FC"/>
    <w:rsid w:val="005C75AB"/>
    <w:rsid w:val="005D0C39"/>
    <w:rsid w:val="005D4913"/>
    <w:rsid w:val="005E6701"/>
    <w:rsid w:val="005F0FEA"/>
    <w:rsid w:val="005F4D51"/>
    <w:rsid w:val="006116DD"/>
    <w:rsid w:val="00635672"/>
    <w:rsid w:val="0063592A"/>
    <w:rsid w:val="00636416"/>
    <w:rsid w:val="0064070B"/>
    <w:rsid w:val="00642C6A"/>
    <w:rsid w:val="006476AD"/>
    <w:rsid w:val="00651C8C"/>
    <w:rsid w:val="00654DE9"/>
    <w:rsid w:val="006552CC"/>
    <w:rsid w:val="0066230D"/>
    <w:rsid w:val="0067398B"/>
    <w:rsid w:val="00682E20"/>
    <w:rsid w:val="0068549F"/>
    <w:rsid w:val="006913AF"/>
    <w:rsid w:val="006A64A2"/>
    <w:rsid w:val="006B53D4"/>
    <w:rsid w:val="006B7259"/>
    <w:rsid w:val="006B7F91"/>
    <w:rsid w:val="006C03A0"/>
    <w:rsid w:val="006C0822"/>
    <w:rsid w:val="006C362B"/>
    <w:rsid w:val="006D2CA4"/>
    <w:rsid w:val="006D58AD"/>
    <w:rsid w:val="006D6B9B"/>
    <w:rsid w:val="006E093D"/>
    <w:rsid w:val="006E0AC5"/>
    <w:rsid w:val="006E4577"/>
    <w:rsid w:val="006E712C"/>
    <w:rsid w:val="006F09C4"/>
    <w:rsid w:val="006F0B70"/>
    <w:rsid w:val="006F5902"/>
    <w:rsid w:val="00701B7B"/>
    <w:rsid w:val="007039CA"/>
    <w:rsid w:val="007105DD"/>
    <w:rsid w:val="00710C77"/>
    <w:rsid w:val="00721024"/>
    <w:rsid w:val="007253DE"/>
    <w:rsid w:val="0073228E"/>
    <w:rsid w:val="00735F71"/>
    <w:rsid w:val="0074468F"/>
    <w:rsid w:val="007473E6"/>
    <w:rsid w:val="00757029"/>
    <w:rsid w:val="00761D7A"/>
    <w:rsid w:val="0076506E"/>
    <w:rsid w:val="00766AF9"/>
    <w:rsid w:val="0077105D"/>
    <w:rsid w:val="00773444"/>
    <w:rsid w:val="007771A8"/>
    <w:rsid w:val="00777C91"/>
    <w:rsid w:val="00794025"/>
    <w:rsid w:val="007A26D0"/>
    <w:rsid w:val="007A37DB"/>
    <w:rsid w:val="007A6E21"/>
    <w:rsid w:val="007B0AB5"/>
    <w:rsid w:val="007B505A"/>
    <w:rsid w:val="007C0D99"/>
    <w:rsid w:val="007D08A1"/>
    <w:rsid w:val="007D4C7A"/>
    <w:rsid w:val="007E181F"/>
    <w:rsid w:val="007E19CF"/>
    <w:rsid w:val="007E28CB"/>
    <w:rsid w:val="007E5477"/>
    <w:rsid w:val="007F17D1"/>
    <w:rsid w:val="008021A2"/>
    <w:rsid w:val="008039B0"/>
    <w:rsid w:val="00821983"/>
    <w:rsid w:val="00823A1C"/>
    <w:rsid w:val="0083416E"/>
    <w:rsid w:val="008373A4"/>
    <w:rsid w:val="00840400"/>
    <w:rsid w:val="00842E1E"/>
    <w:rsid w:val="00853391"/>
    <w:rsid w:val="00854430"/>
    <w:rsid w:val="00860C89"/>
    <w:rsid w:val="00863552"/>
    <w:rsid w:val="0087112F"/>
    <w:rsid w:val="0087415D"/>
    <w:rsid w:val="00874E96"/>
    <w:rsid w:val="00883DAD"/>
    <w:rsid w:val="00897C9E"/>
    <w:rsid w:val="008A0DA0"/>
    <w:rsid w:val="008B0255"/>
    <w:rsid w:val="008B0D93"/>
    <w:rsid w:val="008B5EE6"/>
    <w:rsid w:val="008C4A71"/>
    <w:rsid w:val="008C5D6E"/>
    <w:rsid w:val="008C7D13"/>
    <w:rsid w:val="008E41E1"/>
    <w:rsid w:val="00900CE2"/>
    <w:rsid w:val="00907B05"/>
    <w:rsid w:val="00912CD2"/>
    <w:rsid w:val="00912FFE"/>
    <w:rsid w:val="0091547C"/>
    <w:rsid w:val="00917D1E"/>
    <w:rsid w:val="009207DD"/>
    <w:rsid w:val="0092635A"/>
    <w:rsid w:val="009408EE"/>
    <w:rsid w:val="0094134C"/>
    <w:rsid w:val="00943C8C"/>
    <w:rsid w:val="009456CD"/>
    <w:rsid w:val="00945767"/>
    <w:rsid w:val="00962A10"/>
    <w:rsid w:val="00973BD9"/>
    <w:rsid w:val="00974D6F"/>
    <w:rsid w:val="00975F23"/>
    <w:rsid w:val="009778E4"/>
    <w:rsid w:val="009800C9"/>
    <w:rsid w:val="0098299E"/>
    <w:rsid w:val="0098562A"/>
    <w:rsid w:val="00992BB0"/>
    <w:rsid w:val="00997658"/>
    <w:rsid w:val="009A4CB6"/>
    <w:rsid w:val="009B5E62"/>
    <w:rsid w:val="009C22EA"/>
    <w:rsid w:val="009C794B"/>
    <w:rsid w:val="009D0649"/>
    <w:rsid w:val="009D2647"/>
    <w:rsid w:val="009D509D"/>
    <w:rsid w:val="009D7A7B"/>
    <w:rsid w:val="009E056E"/>
    <w:rsid w:val="009E3A01"/>
    <w:rsid w:val="009F699D"/>
    <w:rsid w:val="00A0371C"/>
    <w:rsid w:val="00A134D5"/>
    <w:rsid w:val="00A13E81"/>
    <w:rsid w:val="00A1592E"/>
    <w:rsid w:val="00A21656"/>
    <w:rsid w:val="00A30124"/>
    <w:rsid w:val="00A3041D"/>
    <w:rsid w:val="00A30D86"/>
    <w:rsid w:val="00A35212"/>
    <w:rsid w:val="00A370D6"/>
    <w:rsid w:val="00A40A96"/>
    <w:rsid w:val="00A40C2E"/>
    <w:rsid w:val="00A43A6A"/>
    <w:rsid w:val="00A503EB"/>
    <w:rsid w:val="00A5394C"/>
    <w:rsid w:val="00A540EA"/>
    <w:rsid w:val="00A56504"/>
    <w:rsid w:val="00A62D6C"/>
    <w:rsid w:val="00A72254"/>
    <w:rsid w:val="00A74520"/>
    <w:rsid w:val="00A835F6"/>
    <w:rsid w:val="00A86CE8"/>
    <w:rsid w:val="00A9233E"/>
    <w:rsid w:val="00A950C7"/>
    <w:rsid w:val="00A95E4B"/>
    <w:rsid w:val="00A97B3A"/>
    <w:rsid w:val="00AA5C91"/>
    <w:rsid w:val="00AB0364"/>
    <w:rsid w:val="00AB35EB"/>
    <w:rsid w:val="00AB466D"/>
    <w:rsid w:val="00AB673B"/>
    <w:rsid w:val="00AB6BB8"/>
    <w:rsid w:val="00AC375D"/>
    <w:rsid w:val="00AC6C3F"/>
    <w:rsid w:val="00AF588D"/>
    <w:rsid w:val="00B03C7B"/>
    <w:rsid w:val="00B06BB3"/>
    <w:rsid w:val="00B11F74"/>
    <w:rsid w:val="00B1433F"/>
    <w:rsid w:val="00B14BE9"/>
    <w:rsid w:val="00B16614"/>
    <w:rsid w:val="00B232A3"/>
    <w:rsid w:val="00B24010"/>
    <w:rsid w:val="00B25E5C"/>
    <w:rsid w:val="00B44E58"/>
    <w:rsid w:val="00B50D30"/>
    <w:rsid w:val="00B539D8"/>
    <w:rsid w:val="00B70E92"/>
    <w:rsid w:val="00B73168"/>
    <w:rsid w:val="00B7444F"/>
    <w:rsid w:val="00B763E6"/>
    <w:rsid w:val="00B96511"/>
    <w:rsid w:val="00BA21A4"/>
    <w:rsid w:val="00BA5263"/>
    <w:rsid w:val="00BA679F"/>
    <w:rsid w:val="00BA7270"/>
    <w:rsid w:val="00BA7485"/>
    <w:rsid w:val="00BA7B65"/>
    <w:rsid w:val="00BB656A"/>
    <w:rsid w:val="00BC12BD"/>
    <w:rsid w:val="00BC56EC"/>
    <w:rsid w:val="00BD00B3"/>
    <w:rsid w:val="00BD1CD9"/>
    <w:rsid w:val="00BD278F"/>
    <w:rsid w:val="00BD4C73"/>
    <w:rsid w:val="00BD645C"/>
    <w:rsid w:val="00BD6E6B"/>
    <w:rsid w:val="00BE0D88"/>
    <w:rsid w:val="00BE1A74"/>
    <w:rsid w:val="00BE35B4"/>
    <w:rsid w:val="00BF0147"/>
    <w:rsid w:val="00BF1C66"/>
    <w:rsid w:val="00BF39BB"/>
    <w:rsid w:val="00BF6B62"/>
    <w:rsid w:val="00BF6BE8"/>
    <w:rsid w:val="00C0721C"/>
    <w:rsid w:val="00C12762"/>
    <w:rsid w:val="00C25530"/>
    <w:rsid w:val="00C275CA"/>
    <w:rsid w:val="00C32033"/>
    <w:rsid w:val="00C40A43"/>
    <w:rsid w:val="00C43DBF"/>
    <w:rsid w:val="00C53093"/>
    <w:rsid w:val="00C60E66"/>
    <w:rsid w:val="00C621A4"/>
    <w:rsid w:val="00C66277"/>
    <w:rsid w:val="00C73FB4"/>
    <w:rsid w:val="00C766DD"/>
    <w:rsid w:val="00C90AE0"/>
    <w:rsid w:val="00C93D7A"/>
    <w:rsid w:val="00CA4D21"/>
    <w:rsid w:val="00CA5B28"/>
    <w:rsid w:val="00CB34E6"/>
    <w:rsid w:val="00CB4665"/>
    <w:rsid w:val="00CB5090"/>
    <w:rsid w:val="00CC28E0"/>
    <w:rsid w:val="00CC5AC8"/>
    <w:rsid w:val="00CD1C60"/>
    <w:rsid w:val="00CD3C07"/>
    <w:rsid w:val="00CD622C"/>
    <w:rsid w:val="00CD6882"/>
    <w:rsid w:val="00CE1503"/>
    <w:rsid w:val="00CE499A"/>
    <w:rsid w:val="00D02666"/>
    <w:rsid w:val="00D06160"/>
    <w:rsid w:val="00D105FD"/>
    <w:rsid w:val="00D1161F"/>
    <w:rsid w:val="00D16FA1"/>
    <w:rsid w:val="00D24179"/>
    <w:rsid w:val="00D3393A"/>
    <w:rsid w:val="00D33B9D"/>
    <w:rsid w:val="00D34E68"/>
    <w:rsid w:val="00D368A7"/>
    <w:rsid w:val="00D42F21"/>
    <w:rsid w:val="00D468E2"/>
    <w:rsid w:val="00D61208"/>
    <w:rsid w:val="00D61382"/>
    <w:rsid w:val="00D70550"/>
    <w:rsid w:val="00D71B5A"/>
    <w:rsid w:val="00D744B9"/>
    <w:rsid w:val="00D80787"/>
    <w:rsid w:val="00D85E64"/>
    <w:rsid w:val="00D91FE2"/>
    <w:rsid w:val="00DA038F"/>
    <w:rsid w:val="00DB449F"/>
    <w:rsid w:val="00DD3DFE"/>
    <w:rsid w:val="00DF1289"/>
    <w:rsid w:val="00DF1660"/>
    <w:rsid w:val="00DF2FD9"/>
    <w:rsid w:val="00DF70F8"/>
    <w:rsid w:val="00E00F0C"/>
    <w:rsid w:val="00E01F1C"/>
    <w:rsid w:val="00E13599"/>
    <w:rsid w:val="00E15176"/>
    <w:rsid w:val="00E308F5"/>
    <w:rsid w:val="00E37BDF"/>
    <w:rsid w:val="00E45818"/>
    <w:rsid w:val="00E512C9"/>
    <w:rsid w:val="00E600E3"/>
    <w:rsid w:val="00E61CDE"/>
    <w:rsid w:val="00E67963"/>
    <w:rsid w:val="00E758AA"/>
    <w:rsid w:val="00E75EAB"/>
    <w:rsid w:val="00E77F3D"/>
    <w:rsid w:val="00E82A2F"/>
    <w:rsid w:val="00E90182"/>
    <w:rsid w:val="00E91C2C"/>
    <w:rsid w:val="00E948DA"/>
    <w:rsid w:val="00EA2D8C"/>
    <w:rsid w:val="00EC02E4"/>
    <w:rsid w:val="00EC5FED"/>
    <w:rsid w:val="00EC606E"/>
    <w:rsid w:val="00ED6A71"/>
    <w:rsid w:val="00EE12EF"/>
    <w:rsid w:val="00EE1356"/>
    <w:rsid w:val="00EF3208"/>
    <w:rsid w:val="00F00E48"/>
    <w:rsid w:val="00F02CA7"/>
    <w:rsid w:val="00F06512"/>
    <w:rsid w:val="00F11CDD"/>
    <w:rsid w:val="00F13540"/>
    <w:rsid w:val="00F20D19"/>
    <w:rsid w:val="00F21814"/>
    <w:rsid w:val="00F21E44"/>
    <w:rsid w:val="00F22D1B"/>
    <w:rsid w:val="00F3644A"/>
    <w:rsid w:val="00F43052"/>
    <w:rsid w:val="00F456F5"/>
    <w:rsid w:val="00F462B4"/>
    <w:rsid w:val="00F56A55"/>
    <w:rsid w:val="00F60A80"/>
    <w:rsid w:val="00F60F76"/>
    <w:rsid w:val="00F647BB"/>
    <w:rsid w:val="00F73155"/>
    <w:rsid w:val="00F74343"/>
    <w:rsid w:val="00F74D79"/>
    <w:rsid w:val="00F9019F"/>
    <w:rsid w:val="00F9135F"/>
    <w:rsid w:val="00F9569B"/>
    <w:rsid w:val="00F959EE"/>
    <w:rsid w:val="00F96D92"/>
    <w:rsid w:val="00FA4658"/>
    <w:rsid w:val="00FA6586"/>
    <w:rsid w:val="00FB13AB"/>
    <w:rsid w:val="00FB18F6"/>
    <w:rsid w:val="00FB1AF8"/>
    <w:rsid w:val="00FB3121"/>
    <w:rsid w:val="00FB6784"/>
    <w:rsid w:val="00FC01EE"/>
    <w:rsid w:val="00FC0C6B"/>
    <w:rsid w:val="00FC1187"/>
    <w:rsid w:val="00FC4755"/>
    <w:rsid w:val="00FC7AAE"/>
    <w:rsid w:val="00FD36B0"/>
    <w:rsid w:val="00FD3A7C"/>
    <w:rsid w:val="00FE3724"/>
    <w:rsid w:val="00FE4EAD"/>
    <w:rsid w:val="00FF0089"/>
    <w:rsid w:val="00FF3054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DCD64"/>
  <w15:docId w15:val="{1F099E49-FAA0-4A13-9FB8-9A35ABDA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640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B76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7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375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7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75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7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7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ASK~1\AppData\Local\Temp\Rar$DI00.181\8D1dokladnazapis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6364-764C-4758-9BF0-C6D1ACDE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8D1dokladnazapiska</Template>
  <TotalTime>0</TotalTime>
  <Pages>7</Pages>
  <Words>2116</Words>
  <Characters>12066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Uiou0poiuop</vt:lpstr>
      <vt:lpstr>Uiou0poiuop</vt:lpstr>
    </vt:vector>
  </TitlesOfParts>
  <Company>MRRB</Company>
  <LinksUpToDate>false</LinksUpToDate>
  <CharactersWithSpaces>14154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Albena Palaskova</dc:creator>
  <cp:lastModifiedBy>Maria Vaklinova</cp:lastModifiedBy>
  <cp:revision>2</cp:revision>
  <cp:lastPrinted>2018-08-21T12:42:00Z</cp:lastPrinted>
  <dcterms:created xsi:type="dcterms:W3CDTF">2019-03-20T15:30:00Z</dcterms:created>
  <dcterms:modified xsi:type="dcterms:W3CDTF">2019-03-20T15:30:00Z</dcterms:modified>
</cp:coreProperties>
</file>